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9F" w:rsidRDefault="00F647C4" w:rsidP="00F647C4">
      <w:pPr>
        <w:jc w:val="center"/>
      </w:pPr>
      <w:r>
        <w:t>A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F647C4" w:rsidTr="00F647C4">
        <w:tc>
          <w:tcPr>
            <w:tcW w:w="1975" w:type="dxa"/>
          </w:tcPr>
          <w:p w:rsidR="00F647C4" w:rsidRDefault="00F647C4" w:rsidP="00F647C4">
            <w:pPr>
              <w:jc w:val="center"/>
            </w:pPr>
          </w:p>
        </w:tc>
        <w:tc>
          <w:tcPr>
            <w:tcW w:w="3510" w:type="dxa"/>
          </w:tcPr>
          <w:p w:rsidR="00F647C4" w:rsidRDefault="00F647C4" w:rsidP="00AF070A">
            <w:r>
              <w:t>William Hogarth</w:t>
            </w:r>
            <w:r w:rsidR="00AF070A">
              <w:t>,</w:t>
            </w:r>
          </w:p>
          <w:p w:rsidR="00AF070A" w:rsidRDefault="00AF070A" w:rsidP="00AF070A">
            <w:r>
              <w:t>An 18</w:t>
            </w:r>
            <w:r w:rsidRPr="00AF070A">
              <w:rPr>
                <w:vertAlign w:val="superscript"/>
              </w:rPr>
              <w:t>th</w:t>
            </w:r>
            <w:r>
              <w:t xml:space="preserve">-century engraver, artist, and printer </w:t>
            </w:r>
          </w:p>
          <w:p w:rsidR="00AF070A" w:rsidRDefault="00AF070A" w:rsidP="00AF070A"/>
        </w:tc>
        <w:tc>
          <w:tcPr>
            <w:tcW w:w="3865" w:type="dxa"/>
          </w:tcPr>
          <w:p w:rsidR="00F647C4" w:rsidRDefault="00F647C4" w:rsidP="00AF070A">
            <w:r>
              <w:t>George Bernard Shaw</w:t>
            </w:r>
          </w:p>
          <w:p w:rsidR="00AF070A" w:rsidRDefault="00AF070A" w:rsidP="00AF070A">
            <w:r>
              <w:t>A 20</w:t>
            </w:r>
            <w:r w:rsidRPr="00AF070A">
              <w:rPr>
                <w:vertAlign w:val="superscript"/>
              </w:rPr>
              <w:t>th</w:t>
            </w:r>
            <w:r>
              <w:t xml:space="preserve">-century playwright and social reformer </w:t>
            </w:r>
          </w:p>
        </w:tc>
      </w:tr>
      <w:tr w:rsidR="00F647C4" w:rsidTr="00F647C4">
        <w:tc>
          <w:tcPr>
            <w:tcW w:w="1975" w:type="dxa"/>
          </w:tcPr>
          <w:p w:rsidR="00F647C4" w:rsidRDefault="00F647C4" w:rsidP="00F647C4">
            <w:r>
              <w:t xml:space="preserve">Text </w:t>
            </w:r>
          </w:p>
        </w:tc>
        <w:tc>
          <w:tcPr>
            <w:tcW w:w="3510" w:type="dxa"/>
          </w:tcPr>
          <w:p w:rsidR="00F647C4" w:rsidRDefault="00286109" w:rsidP="00F647C4">
            <w:r>
              <w:t>“</w:t>
            </w:r>
            <w:r w:rsidR="00F647C4">
              <w:t xml:space="preserve">Marriage </w:t>
            </w:r>
            <w:r w:rsidR="00F950F6">
              <w:t>A-La-Mode”</w:t>
            </w:r>
            <w:r w:rsidR="00F647C4">
              <w:t xml:space="preserve"> </w:t>
            </w:r>
          </w:p>
          <w:p w:rsidR="00AF070A" w:rsidRDefault="00AF070A" w:rsidP="00F647C4"/>
        </w:tc>
        <w:tc>
          <w:tcPr>
            <w:tcW w:w="3865" w:type="dxa"/>
          </w:tcPr>
          <w:p w:rsidR="00F647C4" w:rsidRPr="00F647C4" w:rsidRDefault="00F647C4" w:rsidP="00F647C4">
            <w:pPr>
              <w:rPr>
                <w:i/>
              </w:rPr>
            </w:pPr>
            <w:r w:rsidRPr="00F647C4">
              <w:rPr>
                <w:i/>
              </w:rPr>
              <w:t xml:space="preserve">Pygmalion </w:t>
            </w:r>
          </w:p>
        </w:tc>
      </w:tr>
      <w:tr w:rsidR="00F647C4" w:rsidTr="00F647C4">
        <w:tc>
          <w:tcPr>
            <w:tcW w:w="1975" w:type="dxa"/>
          </w:tcPr>
          <w:p w:rsidR="00F647C4" w:rsidRDefault="00F647C4" w:rsidP="00F647C4">
            <w:r>
              <w:t>Audience/ purpose</w:t>
            </w:r>
          </w:p>
        </w:tc>
        <w:tc>
          <w:tcPr>
            <w:tcW w:w="3510" w:type="dxa"/>
          </w:tcPr>
          <w:p w:rsidR="00F647C4" w:rsidRDefault="00F647C4" w:rsidP="00F647C4">
            <w:r>
              <w:t xml:space="preserve">Upward mobile middle class with purchasing power </w:t>
            </w:r>
          </w:p>
        </w:tc>
        <w:tc>
          <w:tcPr>
            <w:tcW w:w="3865" w:type="dxa"/>
          </w:tcPr>
          <w:p w:rsidR="00F647C4" w:rsidRDefault="00F647C4" w:rsidP="00F647C4">
            <w:pPr>
              <w:pStyle w:val="ListParagraph"/>
              <w:numPr>
                <w:ilvl w:val="0"/>
                <w:numId w:val="1"/>
              </w:numPr>
            </w:pPr>
            <w:r>
              <w:t>Theater-going middle class</w:t>
            </w:r>
          </w:p>
          <w:p w:rsidR="00F647C4" w:rsidRDefault="00F647C4" w:rsidP="00F647C4">
            <w:pPr>
              <w:pStyle w:val="ListParagraph"/>
              <w:numPr>
                <w:ilvl w:val="0"/>
                <w:numId w:val="1"/>
              </w:numPr>
            </w:pPr>
            <w:r>
              <w:t xml:space="preserve">People with social, gender awareness </w:t>
            </w:r>
          </w:p>
        </w:tc>
      </w:tr>
      <w:tr w:rsidR="00F647C4" w:rsidTr="00F647C4">
        <w:tc>
          <w:tcPr>
            <w:tcW w:w="1975" w:type="dxa"/>
          </w:tcPr>
          <w:p w:rsidR="00F647C4" w:rsidRDefault="00AF070A" w:rsidP="00F647C4">
            <w:r>
              <w:t>C</w:t>
            </w:r>
            <w:r w:rsidR="00F647C4">
              <w:t xml:space="preserve">ontent </w:t>
            </w:r>
          </w:p>
        </w:tc>
        <w:tc>
          <w:tcPr>
            <w:tcW w:w="3510" w:type="dxa"/>
          </w:tcPr>
          <w:p w:rsidR="00F647C4" w:rsidRDefault="00F647C4" w:rsidP="00F647C4">
            <w:r>
              <w:t xml:space="preserve">A middle-class female protagonist, whose wealth helps her marry an aristocrat, goes through moral corruption and eventually commits suicide. </w:t>
            </w:r>
          </w:p>
          <w:p w:rsidR="00A37A10" w:rsidRDefault="00A37A10" w:rsidP="00F647C4"/>
        </w:tc>
        <w:tc>
          <w:tcPr>
            <w:tcW w:w="3865" w:type="dxa"/>
          </w:tcPr>
          <w:p w:rsidR="00F647C4" w:rsidRDefault="00BA26D7" w:rsidP="00F647C4">
            <w:r>
              <w:t>A female protagonist</w:t>
            </w:r>
            <w:r w:rsidR="00A37A10">
              <w:t xml:space="preserve">, Eliza, achieves her independence and agency through education. </w:t>
            </w:r>
          </w:p>
        </w:tc>
      </w:tr>
      <w:tr w:rsidR="00A37A10" w:rsidTr="00F647C4">
        <w:tc>
          <w:tcPr>
            <w:tcW w:w="1975" w:type="dxa"/>
          </w:tcPr>
          <w:p w:rsidR="00A37A10" w:rsidRDefault="00AF070A" w:rsidP="00F647C4">
            <w:r>
              <w:t xml:space="preserve">Theme </w:t>
            </w:r>
            <w:r w:rsidR="00A37A10">
              <w:t xml:space="preserve"> </w:t>
            </w:r>
          </w:p>
        </w:tc>
        <w:tc>
          <w:tcPr>
            <w:tcW w:w="3510" w:type="dxa"/>
          </w:tcPr>
          <w:p w:rsidR="00A37A10" w:rsidRDefault="00A37A10" w:rsidP="00F647C4">
            <w:r>
              <w:t xml:space="preserve">Mercantile marriage </w:t>
            </w:r>
          </w:p>
          <w:p w:rsidR="00286109" w:rsidRDefault="00286109" w:rsidP="00F647C4">
            <w:r>
              <w:t xml:space="preserve">Marriage of convenience </w:t>
            </w:r>
          </w:p>
          <w:p w:rsidR="00A37A10" w:rsidRDefault="00A37A10" w:rsidP="00F647C4">
            <w:r>
              <w:t>Middle-class morality</w:t>
            </w:r>
          </w:p>
          <w:p w:rsidR="00AF070A" w:rsidRDefault="00AF070A" w:rsidP="00F647C4">
            <w:r>
              <w:t xml:space="preserve">Infidelity and debauchery </w:t>
            </w:r>
          </w:p>
          <w:p w:rsidR="00AF070A" w:rsidRDefault="00AF070A" w:rsidP="00AF070A">
            <w:r>
              <w:t xml:space="preserve">Moral corruption </w:t>
            </w:r>
          </w:p>
          <w:p w:rsidR="00AF070A" w:rsidRDefault="00AF070A" w:rsidP="00AF070A">
            <w:r>
              <w:t xml:space="preserve">Class envy </w:t>
            </w:r>
          </w:p>
          <w:p w:rsidR="00286109" w:rsidRDefault="00286109" w:rsidP="00AF070A">
            <w:r>
              <w:t xml:space="preserve">Exchange of wealth for social status </w:t>
            </w:r>
          </w:p>
          <w:p w:rsidR="00AF070A" w:rsidRDefault="00AF070A" w:rsidP="00AF070A"/>
        </w:tc>
        <w:tc>
          <w:tcPr>
            <w:tcW w:w="3865" w:type="dxa"/>
          </w:tcPr>
          <w:p w:rsidR="00A37A10" w:rsidRDefault="00AF070A" w:rsidP="00F647C4">
            <w:r>
              <w:t xml:space="preserve">Iconoclasm </w:t>
            </w:r>
          </w:p>
          <w:p w:rsidR="00AF070A" w:rsidRDefault="00AF070A" w:rsidP="00F647C4">
            <w:r>
              <w:t>Women’s education</w:t>
            </w:r>
          </w:p>
          <w:p w:rsidR="00AF070A" w:rsidRDefault="00AF070A" w:rsidP="00F647C4">
            <w:r>
              <w:t xml:space="preserve">Social improvement </w:t>
            </w:r>
          </w:p>
          <w:p w:rsidR="004A70FE" w:rsidRDefault="004A70FE" w:rsidP="00F647C4">
            <w:r>
              <w:t xml:space="preserve">Linguistic essentialism </w:t>
            </w:r>
            <w:bookmarkStart w:id="0" w:name="_GoBack"/>
            <w:bookmarkEnd w:id="0"/>
          </w:p>
          <w:p w:rsidR="00AF070A" w:rsidRDefault="00AF070A" w:rsidP="00F647C4"/>
        </w:tc>
      </w:tr>
      <w:tr w:rsidR="00F647C4" w:rsidTr="00F647C4">
        <w:tc>
          <w:tcPr>
            <w:tcW w:w="1975" w:type="dxa"/>
          </w:tcPr>
          <w:p w:rsidR="00F647C4" w:rsidRDefault="00F647C4" w:rsidP="00F647C4">
            <w:r>
              <w:t xml:space="preserve">Tone/ mood </w:t>
            </w:r>
          </w:p>
        </w:tc>
        <w:tc>
          <w:tcPr>
            <w:tcW w:w="3510" w:type="dxa"/>
          </w:tcPr>
          <w:p w:rsidR="00F647C4" w:rsidRDefault="00A37A10" w:rsidP="00F647C4">
            <w:r>
              <w:t>Satirical</w:t>
            </w:r>
          </w:p>
          <w:p w:rsidR="00A37A10" w:rsidRDefault="00A37A10" w:rsidP="00F647C4">
            <w:r>
              <w:t xml:space="preserve">Allegorical </w:t>
            </w:r>
          </w:p>
          <w:p w:rsidR="00286109" w:rsidRDefault="00286109" w:rsidP="00F647C4">
            <w:r>
              <w:t xml:space="preserve">Subversive </w:t>
            </w:r>
          </w:p>
          <w:p w:rsidR="00A37A10" w:rsidRDefault="00A37A10" w:rsidP="00F647C4"/>
        </w:tc>
        <w:tc>
          <w:tcPr>
            <w:tcW w:w="3865" w:type="dxa"/>
          </w:tcPr>
          <w:p w:rsidR="00F647C4" w:rsidRDefault="00A37A10" w:rsidP="00F647C4">
            <w:r>
              <w:t xml:space="preserve">Satirical </w:t>
            </w:r>
          </w:p>
          <w:p w:rsidR="00A37A10" w:rsidRDefault="00A37A10" w:rsidP="00F647C4">
            <w:r>
              <w:t>witty</w:t>
            </w:r>
          </w:p>
        </w:tc>
      </w:tr>
      <w:tr w:rsidR="00F647C4" w:rsidTr="00F647C4">
        <w:tc>
          <w:tcPr>
            <w:tcW w:w="1975" w:type="dxa"/>
          </w:tcPr>
          <w:p w:rsidR="00F647C4" w:rsidRDefault="00F647C4" w:rsidP="00F647C4">
            <w:r>
              <w:t xml:space="preserve">Stylistic devices </w:t>
            </w:r>
          </w:p>
        </w:tc>
        <w:tc>
          <w:tcPr>
            <w:tcW w:w="3510" w:type="dxa"/>
          </w:tcPr>
          <w:p w:rsidR="00F647C4" w:rsidRDefault="00A37A10" w:rsidP="00F647C4">
            <w:r>
              <w:t xml:space="preserve">Images, imagery, symbols, juxtaposition, contrast, foreshadowing </w:t>
            </w:r>
          </w:p>
          <w:p w:rsidR="00A37A10" w:rsidRDefault="00A37A10" w:rsidP="00F647C4"/>
        </w:tc>
        <w:tc>
          <w:tcPr>
            <w:tcW w:w="3865" w:type="dxa"/>
          </w:tcPr>
          <w:p w:rsidR="00F647C4" w:rsidRDefault="00A37A10" w:rsidP="00F647C4">
            <w:r>
              <w:t xml:space="preserve">Pun </w:t>
            </w:r>
          </w:p>
          <w:p w:rsidR="00A37A10" w:rsidRDefault="00A37A10" w:rsidP="00F647C4">
            <w:r>
              <w:t>Irony</w:t>
            </w:r>
          </w:p>
          <w:p w:rsidR="00A37A10" w:rsidRDefault="00A37A10" w:rsidP="00F647C4">
            <w:r>
              <w:t xml:space="preserve">Malapropism </w:t>
            </w:r>
          </w:p>
        </w:tc>
      </w:tr>
      <w:tr w:rsidR="00F647C4" w:rsidTr="00F647C4">
        <w:tc>
          <w:tcPr>
            <w:tcW w:w="1975" w:type="dxa"/>
          </w:tcPr>
          <w:p w:rsidR="00F647C4" w:rsidRDefault="00F647C4" w:rsidP="00F647C4">
            <w:r>
              <w:t xml:space="preserve">Structure </w:t>
            </w:r>
          </w:p>
        </w:tc>
        <w:tc>
          <w:tcPr>
            <w:tcW w:w="3510" w:type="dxa"/>
          </w:tcPr>
          <w:p w:rsidR="00F647C4" w:rsidRDefault="00A37A10" w:rsidP="00F647C4">
            <w:r>
              <w:t xml:space="preserve">A 6-painting series </w:t>
            </w:r>
          </w:p>
        </w:tc>
        <w:tc>
          <w:tcPr>
            <w:tcW w:w="3865" w:type="dxa"/>
          </w:tcPr>
          <w:p w:rsidR="00F647C4" w:rsidRDefault="00A37A10" w:rsidP="00F647C4">
            <w:r>
              <w:t>A five-act play</w:t>
            </w:r>
          </w:p>
          <w:p w:rsidR="00A37A10" w:rsidRDefault="00A37A10" w:rsidP="00F647C4"/>
        </w:tc>
      </w:tr>
    </w:tbl>
    <w:p w:rsidR="00F647C4" w:rsidRDefault="00F647C4" w:rsidP="00F647C4"/>
    <w:sectPr w:rsidR="00F6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1571"/>
    <w:multiLevelType w:val="hybridMultilevel"/>
    <w:tmpl w:val="8C7C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4"/>
    <w:rsid w:val="00286109"/>
    <w:rsid w:val="004A70FE"/>
    <w:rsid w:val="00742CFB"/>
    <w:rsid w:val="00A37A10"/>
    <w:rsid w:val="00AF070A"/>
    <w:rsid w:val="00BA26D7"/>
    <w:rsid w:val="00C1467A"/>
    <w:rsid w:val="00F647C4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9B1D"/>
  <w15:chartTrackingRefBased/>
  <w15:docId w15:val="{CB66A4AA-DE64-444B-AA56-365AA8C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4</cp:revision>
  <dcterms:created xsi:type="dcterms:W3CDTF">2019-12-04T21:40:00Z</dcterms:created>
  <dcterms:modified xsi:type="dcterms:W3CDTF">2019-12-04T22:49:00Z</dcterms:modified>
</cp:coreProperties>
</file>