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2071"/>
        <w:tblW w:w="0" w:type="auto"/>
        <w:tblLook w:val="04A0" w:firstRow="1" w:lastRow="0" w:firstColumn="1" w:lastColumn="0" w:noHBand="0" w:noVBand="1"/>
      </w:tblPr>
      <w:tblGrid>
        <w:gridCol w:w="3116"/>
        <w:gridCol w:w="3117"/>
        <w:gridCol w:w="3117"/>
      </w:tblGrid>
      <w:tr w:rsidR="00786CD4" w:rsidTr="004455C3">
        <w:tc>
          <w:tcPr>
            <w:tcW w:w="3116" w:type="dxa"/>
          </w:tcPr>
          <w:p w:rsidR="00786CD4" w:rsidRPr="004455C3" w:rsidRDefault="00786CD4" w:rsidP="004455C3">
            <w:pPr>
              <w:jc w:val="center"/>
              <w:rPr>
                <w:rFonts w:ascii="Times New Roman" w:hAnsi="Times New Roman" w:cs="Times New Roman"/>
                <w:b/>
                <w:sz w:val="24"/>
                <w:szCs w:val="24"/>
                <w:u w:val="single"/>
              </w:rPr>
            </w:pPr>
            <w:bookmarkStart w:id="0" w:name="_GoBack"/>
            <w:bookmarkEnd w:id="0"/>
            <w:r w:rsidRPr="004455C3">
              <w:rPr>
                <w:rFonts w:ascii="Times New Roman" w:hAnsi="Times New Roman" w:cs="Times New Roman"/>
                <w:b/>
                <w:sz w:val="24"/>
                <w:szCs w:val="24"/>
                <w:u w:val="single"/>
              </w:rPr>
              <w:t>Topic</w:t>
            </w:r>
          </w:p>
          <w:p w:rsidR="00786CD4" w:rsidRPr="00786CD4" w:rsidRDefault="00786CD4" w:rsidP="004455C3">
            <w:pPr>
              <w:rPr>
                <w:rFonts w:ascii="Times New Roman" w:hAnsi="Times New Roman" w:cs="Times New Roman"/>
                <w:sz w:val="24"/>
                <w:szCs w:val="24"/>
              </w:rPr>
            </w:pPr>
            <w:r w:rsidRPr="00786CD4">
              <w:rPr>
                <w:rFonts w:ascii="Times New Roman" w:hAnsi="Times New Roman" w:cs="Times New Roman"/>
                <w:sz w:val="24"/>
                <w:szCs w:val="24"/>
              </w:rPr>
              <w:t>(</w:t>
            </w:r>
            <w:r w:rsidRPr="00786CD4">
              <w:rPr>
                <w:rFonts w:ascii="Times New Roman" w:hAnsi="Times New Roman" w:cs="Times New Roman"/>
                <w:b/>
                <w:sz w:val="24"/>
                <w:szCs w:val="24"/>
              </w:rPr>
              <w:t>insufficiently focused</w:t>
            </w:r>
            <w:r w:rsidRPr="00786CD4">
              <w:rPr>
                <w:rFonts w:ascii="Times New Roman" w:hAnsi="Times New Roman" w:cs="Times New Roman"/>
                <w:sz w:val="24"/>
                <w:szCs w:val="24"/>
              </w:rPr>
              <w:t xml:space="preserve"> to be a useful lens for investigation)</w:t>
            </w:r>
          </w:p>
        </w:tc>
        <w:tc>
          <w:tcPr>
            <w:tcW w:w="3117" w:type="dxa"/>
          </w:tcPr>
          <w:p w:rsidR="00786CD4" w:rsidRPr="004455C3" w:rsidRDefault="00786CD4" w:rsidP="004455C3">
            <w:pPr>
              <w:jc w:val="center"/>
              <w:rPr>
                <w:rFonts w:ascii="Times New Roman" w:hAnsi="Times New Roman" w:cs="Times New Roman"/>
                <w:b/>
                <w:sz w:val="24"/>
                <w:szCs w:val="24"/>
                <w:u w:val="single"/>
              </w:rPr>
            </w:pPr>
            <w:r w:rsidRPr="004455C3">
              <w:rPr>
                <w:rFonts w:ascii="Times New Roman" w:hAnsi="Times New Roman" w:cs="Times New Roman"/>
                <w:b/>
                <w:sz w:val="24"/>
                <w:szCs w:val="24"/>
                <w:u w:val="single"/>
              </w:rPr>
              <w:t>Local Issue</w:t>
            </w:r>
          </w:p>
          <w:p w:rsidR="00786CD4" w:rsidRPr="00786CD4" w:rsidRDefault="00786CD4" w:rsidP="004455C3">
            <w:pPr>
              <w:rPr>
                <w:rFonts w:ascii="Times New Roman" w:hAnsi="Times New Roman" w:cs="Times New Roman"/>
                <w:sz w:val="24"/>
                <w:szCs w:val="24"/>
              </w:rPr>
            </w:pPr>
            <w:r w:rsidRPr="00786CD4">
              <w:rPr>
                <w:rFonts w:ascii="Times New Roman" w:hAnsi="Times New Roman" w:cs="Times New Roman"/>
                <w:sz w:val="24"/>
                <w:szCs w:val="24"/>
              </w:rPr>
              <w:t>(</w:t>
            </w:r>
            <w:r w:rsidRPr="00786CD4">
              <w:rPr>
                <w:rFonts w:ascii="Times New Roman" w:hAnsi="Times New Roman" w:cs="Times New Roman"/>
                <w:b/>
                <w:sz w:val="24"/>
                <w:szCs w:val="24"/>
              </w:rPr>
              <w:t>Too specific</w:t>
            </w:r>
            <w:r w:rsidRPr="00786CD4">
              <w:rPr>
                <w:rFonts w:ascii="Times New Roman" w:hAnsi="Times New Roman" w:cs="Times New Roman"/>
                <w:sz w:val="24"/>
                <w:szCs w:val="24"/>
              </w:rPr>
              <w:t xml:space="preserve"> for works to engage with this particular expression of the issue)</w:t>
            </w:r>
          </w:p>
        </w:tc>
        <w:tc>
          <w:tcPr>
            <w:tcW w:w="3117" w:type="dxa"/>
          </w:tcPr>
          <w:p w:rsidR="00786CD4" w:rsidRPr="004455C3" w:rsidRDefault="00786CD4" w:rsidP="004455C3">
            <w:pPr>
              <w:jc w:val="center"/>
              <w:rPr>
                <w:rFonts w:ascii="Times New Roman" w:hAnsi="Times New Roman" w:cs="Times New Roman"/>
                <w:b/>
                <w:sz w:val="24"/>
                <w:szCs w:val="24"/>
                <w:u w:val="single"/>
              </w:rPr>
            </w:pPr>
            <w:r w:rsidRPr="004455C3">
              <w:rPr>
                <w:rFonts w:ascii="Times New Roman" w:hAnsi="Times New Roman" w:cs="Times New Roman"/>
                <w:b/>
                <w:sz w:val="24"/>
                <w:szCs w:val="24"/>
                <w:u w:val="single"/>
              </w:rPr>
              <w:t>Global Issue</w:t>
            </w:r>
          </w:p>
          <w:p w:rsidR="00786CD4" w:rsidRPr="00786CD4" w:rsidRDefault="00786CD4" w:rsidP="004455C3">
            <w:pPr>
              <w:rPr>
                <w:rFonts w:ascii="Times New Roman" w:hAnsi="Times New Roman" w:cs="Times New Roman"/>
                <w:b/>
                <w:sz w:val="24"/>
                <w:szCs w:val="24"/>
              </w:rPr>
            </w:pPr>
            <w:r w:rsidRPr="00786CD4">
              <w:rPr>
                <w:rFonts w:ascii="Times New Roman" w:hAnsi="Times New Roman" w:cs="Times New Roman"/>
                <w:b/>
                <w:sz w:val="24"/>
                <w:szCs w:val="24"/>
              </w:rPr>
              <w:t>(Appropriate for presentation; works/texts engage the issue from varied perspectives)</w:t>
            </w:r>
          </w:p>
        </w:tc>
      </w:tr>
      <w:tr w:rsidR="00786CD4" w:rsidTr="004455C3">
        <w:tc>
          <w:tcPr>
            <w:tcW w:w="3116" w:type="dxa"/>
          </w:tcPr>
          <w:p w:rsidR="00786CD4" w:rsidRPr="00786CD4" w:rsidRDefault="00786CD4" w:rsidP="004455C3">
            <w:pPr>
              <w:rPr>
                <w:rFonts w:ascii="Helvetica" w:hAnsi="Helvetica" w:cs="Helvetica"/>
              </w:rPr>
            </w:pPr>
            <w:r w:rsidRPr="00786CD4">
              <w:rPr>
                <w:rFonts w:ascii="Helvetica" w:hAnsi="Helvetica" w:cs="Helvetica"/>
              </w:rPr>
              <w:t xml:space="preserve">Culture, identity and community – colonialism </w:t>
            </w:r>
            <w:r w:rsidR="00E71A1F">
              <w:rPr>
                <w:rFonts w:ascii="Helvetica" w:hAnsi="Helvetica" w:cs="Helvetica"/>
              </w:rPr>
              <w:t>(IB Topic)</w:t>
            </w:r>
          </w:p>
        </w:tc>
        <w:tc>
          <w:tcPr>
            <w:tcW w:w="3117" w:type="dxa"/>
          </w:tcPr>
          <w:p w:rsidR="00786CD4" w:rsidRDefault="00786CD4" w:rsidP="004455C3">
            <w:r>
              <w:rPr>
                <w:rFonts w:ascii="Helvetica" w:hAnsi="Helvetica" w:cs="Helvetica"/>
                <w:color w:val="333333"/>
                <w:sz w:val="21"/>
                <w:szCs w:val="21"/>
                <w:shd w:val="clear" w:color="auto" w:fill="FFFFFF"/>
              </w:rPr>
              <w:t>A newly independent nation sets out to rename sites named for prominent colonizers.</w:t>
            </w:r>
          </w:p>
        </w:tc>
        <w:tc>
          <w:tcPr>
            <w:tcW w:w="3117" w:type="dxa"/>
          </w:tcPr>
          <w:p w:rsidR="00786CD4" w:rsidRDefault="00786CD4" w:rsidP="004455C3">
            <w:r>
              <w:rPr>
                <w:rFonts w:ascii="Helvetica" w:hAnsi="Helvetica" w:cs="Helvetica"/>
                <w:b/>
                <w:bCs/>
                <w:color w:val="333333"/>
                <w:sz w:val="21"/>
                <w:szCs w:val="21"/>
                <w:shd w:val="clear" w:color="auto" w:fill="FFFFFF"/>
              </w:rPr>
              <w:t>How do societies reconcile native and colonial influences?</w:t>
            </w:r>
          </w:p>
        </w:tc>
      </w:tr>
      <w:tr w:rsidR="00786CD4" w:rsidTr="004455C3">
        <w:tc>
          <w:tcPr>
            <w:tcW w:w="3116" w:type="dxa"/>
          </w:tcPr>
          <w:p w:rsidR="00786CD4" w:rsidRDefault="00786CD4" w:rsidP="004455C3">
            <w:r>
              <w:rPr>
                <w:rFonts w:ascii="Helvetica" w:hAnsi="Helvetica" w:cs="Helvetica"/>
                <w:color w:val="333333"/>
                <w:sz w:val="21"/>
                <w:szCs w:val="21"/>
                <w:shd w:val="clear" w:color="auto" w:fill="FFFFFF"/>
              </w:rPr>
              <w:t>Beliefs, values and education—shaping educational systems</w:t>
            </w:r>
            <w:r w:rsidR="00E71A1F">
              <w:rPr>
                <w:rFonts w:ascii="Helvetica" w:hAnsi="Helvetica" w:cs="Helvetica"/>
                <w:color w:val="333333"/>
                <w:sz w:val="21"/>
                <w:szCs w:val="21"/>
                <w:shd w:val="clear" w:color="auto" w:fill="FFFFFF"/>
              </w:rPr>
              <w:t xml:space="preserve"> (IB Topic)</w:t>
            </w:r>
          </w:p>
        </w:tc>
        <w:tc>
          <w:tcPr>
            <w:tcW w:w="3117" w:type="dxa"/>
          </w:tcPr>
          <w:p w:rsidR="00786CD4" w:rsidRDefault="00786CD4" w:rsidP="004455C3">
            <w:r>
              <w:rPr>
                <w:rFonts w:ascii="Helvetica" w:hAnsi="Helvetica" w:cs="Helvetica"/>
                <w:color w:val="333333"/>
                <w:sz w:val="21"/>
                <w:szCs w:val="21"/>
                <w:shd w:val="clear" w:color="auto" w:fill="FFFFFF"/>
              </w:rPr>
              <w:t>A regional government develops a plan to accommodate an influx of refugee children into the public-school system.</w:t>
            </w:r>
          </w:p>
        </w:tc>
        <w:tc>
          <w:tcPr>
            <w:tcW w:w="3117" w:type="dxa"/>
          </w:tcPr>
          <w:p w:rsidR="00786CD4" w:rsidRDefault="00786CD4" w:rsidP="004455C3">
            <w:r>
              <w:rPr>
                <w:rFonts w:ascii="Helvetica" w:hAnsi="Helvetica" w:cs="Helvetica"/>
                <w:b/>
                <w:bCs/>
                <w:color w:val="333333"/>
                <w:sz w:val="21"/>
                <w:szCs w:val="21"/>
                <w:shd w:val="clear" w:color="auto" w:fill="FFFFFF"/>
              </w:rPr>
              <w:t>The effects of allowing new populations access to education</w:t>
            </w:r>
          </w:p>
        </w:tc>
      </w:tr>
      <w:tr w:rsidR="00786CD4" w:rsidTr="004455C3">
        <w:tc>
          <w:tcPr>
            <w:tcW w:w="3116" w:type="dxa"/>
          </w:tcPr>
          <w:p w:rsidR="00786CD4" w:rsidRDefault="00786CD4" w:rsidP="004455C3">
            <w:r>
              <w:rPr>
                <w:rFonts w:ascii="Helvetica" w:hAnsi="Helvetica" w:cs="Helvetica"/>
                <w:color w:val="333333"/>
                <w:sz w:val="21"/>
                <w:szCs w:val="21"/>
                <w:shd w:val="clear" w:color="auto" w:fill="FFFFFF"/>
              </w:rPr>
              <w:t>Politics, power and justice—corruption</w:t>
            </w:r>
            <w:r w:rsidR="00E71A1F">
              <w:rPr>
                <w:rFonts w:ascii="Helvetica" w:hAnsi="Helvetica" w:cs="Helvetica"/>
                <w:color w:val="333333"/>
                <w:sz w:val="21"/>
                <w:szCs w:val="21"/>
                <w:shd w:val="clear" w:color="auto" w:fill="FFFFFF"/>
              </w:rPr>
              <w:t xml:space="preserve"> (IB Topic)</w:t>
            </w:r>
          </w:p>
        </w:tc>
        <w:tc>
          <w:tcPr>
            <w:tcW w:w="3117" w:type="dxa"/>
          </w:tcPr>
          <w:p w:rsidR="00786CD4" w:rsidRDefault="00786CD4" w:rsidP="004455C3">
            <w:r>
              <w:rPr>
                <w:rFonts w:ascii="Helvetica" w:hAnsi="Helvetica" w:cs="Helvetica"/>
                <w:color w:val="333333"/>
                <w:sz w:val="21"/>
                <w:szCs w:val="21"/>
                <w:shd w:val="clear" w:color="auto" w:fill="FFFFFF"/>
              </w:rPr>
              <w:t>The government of a country has impeached their president on charges of corruption</w:t>
            </w:r>
          </w:p>
        </w:tc>
        <w:tc>
          <w:tcPr>
            <w:tcW w:w="3117" w:type="dxa"/>
          </w:tcPr>
          <w:p w:rsidR="00786CD4" w:rsidRDefault="00786CD4" w:rsidP="004455C3">
            <w:r>
              <w:rPr>
                <w:rFonts w:ascii="Helvetica" w:hAnsi="Helvetica" w:cs="Helvetica"/>
                <w:b/>
                <w:bCs/>
                <w:color w:val="333333"/>
                <w:sz w:val="21"/>
                <w:szCs w:val="21"/>
                <w:shd w:val="clear" w:color="auto" w:fill="FFFFFF"/>
              </w:rPr>
              <w:t>Corruption as an obstacle to achieving greater equality</w:t>
            </w:r>
          </w:p>
        </w:tc>
      </w:tr>
      <w:tr w:rsidR="00786CD4" w:rsidTr="004455C3">
        <w:tc>
          <w:tcPr>
            <w:tcW w:w="3116" w:type="dxa"/>
          </w:tcPr>
          <w:p w:rsidR="00786CD4" w:rsidRDefault="00786CD4" w:rsidP="004455C3">
            <w:r>
              <w:rPr>
                <w:rFonts w:ascii="Helvetica" w:hAnsi="Helvetica" w:cs="Helvetica"/>
                <w:color w:val="333333"/>
                <w:sz w:val="21"/>
                <w:szCs w:val="21"/>
                <w:shd w:val="clear" w:color="auto" w:fill="FFFFFF"/>
              </w:rPr>
              <w:t>Art, creativity and the imagination—freedom of expression</w:t>
            </w:r>
            <w:r w:rsidR="00E71A1F">
              <w:rPr>
                <w:rFonts w:ascii="Helvetica" w:hAnsi="Helvetica" w:cs="Helvetica"/>
                <w:color w:val="333333"/>
                <w:sz w:val="21"/>
                <w:szCs w:val="21"/>
                <w:shd w:val="clear" w:color="auto" w:fill="FFFFFF"/>
              </w:rPr>
              <w:t xml:space="preserve"> (IB Topic)</w:t>
            </w:r>
          </w:p>
        </w:tc>
        <w:tc>
          <w:tcPr>
            <w:tcW w:w="3117" w:type="dxa"/>
          </w:tcPr>
          <w:p w:rsidR="00786CD4" w:rsidRDefault="00786CD4" w:rsidP="004455C3">
            <w:r>
              <w:rPr>
                <w:rFonts w:ascii="Helvetica" w:hAnsi="Helvetica" w:cs="Helvetica"/>
                <w:color w:val="333333"/>
                <w:sz w:val="21"/>
                <w:szCs w:val="21"/>
                <w:shd w:val="clear" w:color="auto" w:fill="FFFFFF"/>
              </w:rPr>
              <w:t>A painter’s work is deemed too controversial to display in an exhibition.</w:t>
            </w:r>
          </w:p>
        </w:tc>
        <w:tc>
          <w:tcPr>
            <w:tcW w:w="3117" w:type="dxa"/>
          </w:tcPr>
          <w:p w:rsidR="00786CD4" w:rsidRDefault="00786CD4" w:rsidP="004455C3">
            <w:r>
              <w:rPr>
                <w:rFonts w:ascii="Helvetica" w:hAnsi="Helvetica" w:cs="Helvetica"/>
                <w:b/>
                <w:bCs/>
                <w:color w:val="333333"/>
                <w:sz w:val="21"/>
                <w:szCs w:val="21"/>
                <w:shd w:val="clear" w:color="auto" w:fill="FFFFFF"/>
              </w:rPr>
              <w:t>The effects of curtailing freedom of expression</w:t>
            </w:r>
          </w:p>
        </w:tc>
      </w:tr>
      <w:tr w:rsidR="00786CD4" w:rsidTr="004455C3">
        <w:tc>
          <w:tcPr>
            <w:tcW w:w="3116" w:type="dxa"/>
          </w:tcPr>
          <w:p w:rsidR="00786CD4" w:rsidRDefault="00786CD4" w:rsidP="004455C3">
            <w:r>
              <w:rPr>
                <w:rFonts w:ascii="Helvetica" w:hAnsi="Helvetica" w:cs="Helvetica"/>
                <w:color w:val="333333"/>
                <w:sz w:val="21"/>
                <w:szCs w:val="21"/>
                <w:shd w:val="clear" w:color="auto" w:fill="FFFFFF"/>
              </w:rPr>
              <w:t>Science, technology and the natural world—progress</w:t>
            </w:r>
            <w:r w:rsidR="00E71A1F">
              <w:rPr>
                <w:rFonts w:ascii="Helvetica" w:hAnsi="Helvetica" w:cs="Helvetica"/>
                <w:color w:val="333333"/>
                <w:sz w:val="21"/>
                <w:szCs w:val="21"/>
                <w:shd w:val="clear" w:color="auto" w:fill="FFFFFF"/>
              </w:rPr>
              <w:t xml:space="preserve"> (IB Topic)</w:t>
            </w:r>
          </w:p>
        </w:tc>
        <w:tc>
          <w:tcPr>
            <w:tcW w:w="3117" w:type="dxa"/>
          </w:tcPr>
          <w:p w:rsidR="00786CD4" w:rsidRDefault="00786CD4" w:rsidP="004455C3">
            <w:r>
              <w:rPr>
                <w:rFonts w:ascii="Helvetica" w:hAnsi="Helvetica" w:cs="Helvetica"/>
                <w:color w:val="333333"/>
                <w:sz w:val="21"/>
                <w:szCs w:val="21"/>
                <w:shd w:val="clear" w:color="auto" w:fill="FFFFFF"/>
              </w:rPr>
              <w:t>The construction of a dam in a particular community</w:t>
            </w:r>
          </w:p>
        </w:tc>
        <w:tc>
          <w:tcPr>
            <w:tcW w:w="3117" w:type="dxa"/>
          </w:tcPr>
          <w:p w:rsidR="00786CD4" w:rsidRDefault="00786CD4" w:rsidP="004455C3">
            <w:r>
              <w:rPr>
                <w:rFonts w:ascii="Helvetica" w:hAnsi="Helvetica" w:cs="Helvetica"/>
                <w:b/>
                <w:bCs/>
                <w:color w:val="333333"/>
                <w:sz w:val="21"/>
                <w:szCs w:val="21"/>
                <w:shd w:val="clear" w:color="auto" w:fill="FFFFFF"/>
              </w:rPr>
              <w:t>The importance of finding a balance between progress and respect for nature</w:t>
            </w:r>
          </w:p>
        </w:tc>
      </w:tr>
      <w:tr w:rsidR="00786CD4" w:rsidTr="004455C3">
        <w:tc>
          <w:tcPr>
            <w:tcW w:w="3116" w:type="dxa"/>
          </w:tcPr>
          <w:p w:rsidR="00786CD4" w:rsidRDefault="00786CD4" w:rsidP="004455C3">
            <w:r>
              <w:rPr>
                <w:rFonts w:ascii="Helvetica" w:hAnsi="Helvetica" w:cs="Helvetica"/>
                <w:color w:val="333333"/>
                <w:sz w:val="21"/>
                <w:szCs w:val="21"/>
                <w:shd w:val="clear" w:color="auto" w:fill="FFFFFF"/>
              </w:rPr>
              <w:t>Gender equality (SDG)</w:t>
            </w:r>
          </w:p>
        </w:tc>
        <w:tc>
          <w:tcPr>
            <w:tcW w:w="3117" w:type="dxa"/>
          </w:tcPr>
          <w:p w:rsidR="00786CD4" w:rsidRDefault="00786CD4" w:rsidP="004455C3">
            <w:r>
              <w:rPr>
                <w:rFonts w:ascii="Helvetica" w:hAnsi="Helvetica" w:cs="Helvetica"/>
                <w:color w:val="333333"/>
                <w:sz w:val="21"/>
                <w:szCs w:val="21"/>
                <w:shd w:val="clear" w:color="auto" w:fill="FFFFFF"/>
              </w:rPr>
              <w:t>Inequality between male and female members in a particular religious hierarchy</w:t>
            </w:r>
          </w:p>
        </w:tc>
        <w:tc>
          <w:tcPr>
            <w:tcW w:w="3117" w:type="dxa"/>
          </w:tcPr>
          <w:p w:rsidR="00786CD4" w:rsidRDefault="00786CD4" w:rsidP="004455C3">
            <w:r>
              <w:rPr>
                <w:rFonts w:ascii="Helvetica" w:hAnsi="Helvetica" w:cs="Helvetica"/>
                <w:b/>
                <w:bCs/>
                <w:color w:val="333333"/>
                <w:sz w:val="21"/>
                <w:szCs w:val="21"/>
                <w:shd w:val="clear" w:color="auto" w:fill="FFFFFF"/>
              </w:rPr>
              <w:t>The impact of religion on gender equality</w:t>
            </w:r>
          </w:p>
        </w:tc>
      </w:tr>
      <w:tr w:rsidR="00786CD4" w:rsidTr="004455C3">
        <w:tc>
          <w:tcPr>
            <w:tcW w:w="3116" w:type="dxa"/>
          </w:tcPr>
          <w:p w:rsidR="00786CD4" w:rsidRDefault="00786CD4" w:rsidP="004455C3">
            <w:r>
              <w:rPr>
                <w:rFonts w:ascii="Helvetica" w:hAnsi="Helvetica" w:cs="Helvetica"/>
                <w:color w:val="333333"/>
                <w:sz w:val="21"/>
                <w:szCs w:val="21"/>
                <w:shd w:val="clear" w:color="auto" w:fill="FFFFFF"/>
              </w:rPr>
              <w:t>Zero hunger (SDG)</w:t>
            </w:r>
          </w:p>
        </w:tc>
        <w:tc>
          <w:tcPr>
            <w:tcW w:w="3117" w:type="dxa"/>
          </w:tcPr>
          <w:p w:rsidR="00786CD4" w:rsidRDefault="00786CD4" w:rsidP="004455C3">
            <w:r>
              <w:rPr>
                <w:rFonts w:ascii="Helvetica" w:hAnsi="Helvetica" w:cs="Helvetica"/>
                <w:color w:val="333333"/>
                <w:sz w:val="21"/>
                <w:szCs w:val="21"/>
                <w:shd w:val="clear" w:color="auto" w:fill="FFFFFF"/>
              </w:rPr>
              <w:t>Increase of malnutrition and starvation in one particular country</w:t>
            </w:r>
          </w:p>
        </w:tc>
        <w:tc>
          <w:tcPr>
            <w:tcW w:w="3117" w:type="dxa"/>
          </w:tcPr>
          <w:p w:rsidR="00786CD4" w:rsidRDefault="00786CD4" w:rsidP="004455C3">
            <w:r>
              <w:rPr>
                <w:rFonts w:ascii="Helvetica" w:hAnsi="Helvetica" w:cs="Helvetica"/>
                <w:b/>
                <w:bCs/>
                <w:color w:val="333333"/>
                <w:sz w:val="21"/>
                <w:szCs w:val="21"/>
                <w:shd w:val="clear" w:color="auto" w:fill="FFFFFF"/>
              </w:rPr>
              <w:t>World trade inequality as a cause of hunger</w:t>
            </w:r>
          </w:p>
        </w:tc>
      </w:tr>
      <w:tr w:rsidR="00786CD4" w:rsidTr="004455C3">
        <w:tc>
          <w:tcPr>
            <w:tcW w:w="3116" w:type="dxa"/>
          </w:tcPr>
          <w:p w:rsidR="00786CD4" w:rsidRDefault="00786CD4" w:rsidP="004455C3">
            <w:pPr>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Good jobs and economic growth (SDG)</w:t>
            </w:r>
          </w:p>
        </w:tc>
        <w:tc>
          <w:tcPr>
            <w:tcW w:w="3117" w:type="dxa"/>
          </w:tcPr>
          <w:p w:rsidR="00786CD4" w:rsidRDefault="00786CD4" w:rsidP="004455C3">
            <w:pPr>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Modern slavery in a particular country</w:t>
            </w:r>
          </w:p>
        </w:tc>
        <w:tc>
          <w:tcPr>
            <w:tcW w:w="3117" w:type="dxa"/>
          </w:tcPr>
          <w:p w:rsidR="00786CD4" w:rsidRDefault="00786CD4" w:rsidP="004455C3">
            <w:pPr>
              <w:rPr>
                <w:rFonts w:ascii="Helvetica" w:hAnsi="Helvetica" w:cs="Helvetica"/>
                <w:b/>
                <w:bCs/>
                <w:color w:val="333333"/>
                <w:sz w:val="21"/>
                <w:szCs w:val="21"/>
                <w:shd w:val="clear" w:color="auto" w:fill="FFFFFF"/>
              </w:rPr>
            </w:pPr>
            <w:r>
              <w:rPr>
                <w:rFonts w:ascii="Helvetica" w:hAnsi="Helvetica" w:cs="Helvetica"/>
                <w:b/>
                <w:bCs/>
                <w:color w:val="333333"/>
                <w:sz w:val="21"/>
                <w:szCs w:val="21"/>
                <w:shd w:val="clear" w:color="auto" w:fill="FFFFFF"/>
              </w:rPr>
              <w:t>Immigrants and their work prospects in hosts countries</w:t>
            </w:r>
          </w:p>
        </w:tc>
      </w:tr>
      <w:tr w:rsidR="00786CD4" w:rsidTr="004455C3">
        <w:tc>
          <w:tcPr>
            <w:tcW w:w="3116" w:type="dxa"/>
          </w:tcPr>
          <w:p w:rsidR="00786CD4" w:rsidRDefault="00786CD4" w:rsidP="004455C3">
            <w:pPr>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Sustainable cities and communities (SDG)</w:t>
            </w:r>
          </w:p>
        </w:tc>
        <w:tc>
          <w:tcPr>
            <w:tcW w:w="3117" w:type="dxa"/>
          </w:tcPr>
          <w:p w:rsidR="00786CD4" w:rsidRDefault="00786CD4" w:rsidP="004455C3">
            <w:pPr>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The impact of youth migrating to the city from a particular rural community or small town</w:t>
            </w:r>
          </w:p>
        </w:tc>
        <w:tc>
          <w:tcPr>
            <w:tcW w:w="3117" w:type="dxa"/>
          </w:tcPr>
          <w:p w:rsidR="00786CD4" w:rsidRDefault="00786CD4" w:rsidP="004455C3">
            <w:pPr>
              <w:rPr>
                <w:rFonts w:ascii="Helvetica" w:hAnsi="Helvetica" w:cs="Helvetica"/>
                <w:b/>
                <w:bCs/>
                <w:color w:val="333333"/>
                <w:sz w:val="21"/>
                <w:szCs w:val="21"/>
                <w:shd w:val="clear" w:color="auto" w:fill="FFFFFF"/>
              </w:rPr>
            </w:pPr>
            <w:r>
              <w:rPr>
                <w:rFonts w:ascii="Helvetica" w:hAnsi="Helvetica" w:cs="Helvetica"/>
                <w:b/>
                <w:bCs/>
                <w:color w:val="333333"/>
                <w:sz w:val="21"/>
                <w:szCs w:val="21"/>
                <w:shd w:val="clear" w:color="auto" w:fill="FFFFFF"/>
              </w:rPr>
              <w:t>Urban migration, urbanization and their consequences on identity</w:t>
            </w:r>
          </w:p>
        </w:tc>
      </w:tr>
    </w:tbl>
    <w:p w:rsidR="00200A21" w:rsidRDefault="00200A21" w:rsidP="00E71A1F">
      <w:pPr>
        <w:jc w:val="center"/>
        <w:rPr>
          <w:rFonts w:ascii="Times New Roman" w:hAnsi="Times New Roman" w:cs="Times New Roman"/>
          <w:b/>
          <w:sz w:val="32"/>
          <w:szCs w:val="32"/>
          <w:u w:val="single"/>
        </w:rPr>
      </w:pPr>
    </w:p>
    <w:p w:rsidR="00D9664A" w:rsidRDefault="00E71A1F" w:rsidP="00E71A1F">
      <w:pPr>
        <w:jc w:val="center"/>
        <w:rPr>
          <w:rFonts w:ascii="Times New Roman" w:hAnsi="Times New Roman" w:cs="Times New Roman"/>
          <w:b/>
          <w:sz w:val="32"/>
          <w:szCs w:val="32"/>
          <w:u w:val="single"/>
        </w:rPr>
      </w:pPr>
      <w:r w:rsidRPr="00E71A1F">
        <w:rPr>
          <w:rFonts w:ascii="Times New Roman" w:hAnsi="Times New Roman" w:cs="Times New Roman"/>
          <w:b/>
          <w:sz w:val="32"/>
          <w:szCs w:val="32"/>
          <w:u w:val="single"/>
        </w:rPr>
        <w:t>Creating an Appropriate Global Issue</w:t>
      </w:r>
    </w:p>
    <w:p w:rsidR="00200A21" w:rsidRDefault="00200A21" w:rsidP="00E71A1F">
      <w:pPr>
        <w:jc w:val="center"/>
        <w:rPr>
          <w:rFonts w:ascii="Times New Roman" w:hAnsi="Times New Roman" w:cs="Times New Roman"/>
          <w:b/>
          <w:sz w:val="32"/>
          <w:szCs w:val="32"/>
          <w:u w:val="single"/>
        </w:rPr>
      </w:pPr>
    </w:p>
    <w:p w:rsidR="00E71A1F" w:rsidRPr="00E71A1F" w:rsidRDefault="00E71A1F" w:rsidP="00E71A1F">
      <w:pPr>
        <w:rPr>
          <w:rFonts w:ascii="Times New Roman" w:hAnsi="Times New Roman" w:cs="Times New Roman"/>
          <w:sz w:val="32"/>
          <w:szCs w:val="32"/>
        </w:rPr>
      </w:pPr>
    </w:p>
    <w:p w:rsidR="00E71A1F" w:rsidRDefault="00E71A1F" w:rsidP="00E71A1F">
      <w:pPr>
        <w:tabs>
          <w:tab w:val="left" w:pos="3600"/>
        </w:tabs>
        <w:rPr>
          <w:rFonts w:ascii="Times New Roman" w:hAnsi="Times New Roman" w:cs="Times New Roman"/>
          <w:sz w:val="32"/>
          <w:szCs w:val="32"/>
        </w:rPr>
      </w:pPr>
      <w:r>
        <w:rPr>
          <w:rFonts w:ascii="Times New Roman" w:hAnsi="Times New Roman" w:cs="Times New Roman"/>
          <w:sz w:val="32"/>
          <w:szCs w:val="32"/>
        </w:rPr>
        <w:tab/>
      </w:r>
    </w:p>
    <w:p w:rsidR="00E71A1F" w:rsidRDefault="00E71A1F">
      <w:pPr>
        <w:rPr>
          <w:rFonts w:ascii="Times New Roman" w:hAnsi="Times New Roman" w:cs="Times New Roman"/>
          <w:sz w:val="32"/>
          <w:szCs w:val="32"/>
        </w:rPr>
      </w:pPr>
      <w:r>
        <w:rPr>
          <w:rFonts w:ascii="Times New Roman" w:hAnsi="Times New Roman" w:cs="Times New Roman"/>
          <w:sz w:val="32"/>
          <w:szCs w:val="32"/>
        </w:rPr>
        <w:br w:type="page"/>
      </w:r>
    </w:p>
    <w:p w:rsidR="00E71A1F" w:rsidRDefault="00E71A1F" w:rsidP="00E71A1F">
      <w:pPr>
        <w:tabs>
          <w:tab w:val="left" w:pos="3600"/>
        </w:tabs>
        <w:jc w:val="center"/>
        <w:rPr>
          <w:rFonts w:ascii="Times New Roman" w:hAnsi="Times New Roman" w:cs="Times New Roman"/>
          <w:b/>
          <w:sz w:val="32"/>
          <w:szCs w:val="32"/>
          <w:u w:val="single"/>
        </w:rPr>
      </w:pPr>
      <w:r w:rsidRPr="00E71A1F">
        <w:rPr>
          <w:rFonts w:ascii="Times New Roman" w:hAnsi="Times New Roman" w:cs="Times New Roman"/>
          <w:b/>
          <w:sz w:val="32"/>
          <w:szCs w:val="32"/>
          <w:u w:val="single"/>
        </w:rPr>
        <w:lastRenderedPageBreak/>
        <w:t>Creating an Appropriate Line of Inquiry</w:t>
      </w:r>
    </w:p>
    <w:tbl>
      <w:tblPr>
        <w:tblStyle w:val="TableGrid"/>
        <w:tblW w:w="11070" w:type="dxa"/>
        <w:tblInd w:w="-815" w:type="dxa"/>
        <w:tblLook w:val="04A0" w:firstRow="1" w:lastRow="0" w:firstColumn="1" w:lastColumn="0" w:noHBand="0" w:noVBand="1"/>
      </w:tblPr>
      <w:tblGrid>
        <w:gridCol w:w="2430"/>
        <w:gridCol w:w="4772"/>
        <w:gridCol w:w="3868"/>
      </w:tblGrid>
      <w:tr w:rsidR="00596A55" w:rsidTr="00375051">
        <w:tc>
          <w:tcPr>
            <w:tcW w:w="2430" w:type="dxa"/>
          </w:tcPr>
          <w:p w:rsidR="00596A55" w:rsidRPr="004455C3" w:rsidRDefault="00596A55" w:rsidP="00E71A1F">
            <w:pPr>
              <w:tabs>
                <w:tab w:val="left" w:pos="3600"/>
              </w:tabs>
              <w:jc w:val="center"/>
              <w:rPr>
                <w:rFonts w:ascii="Times New Roman" w:hAnsi="Times New Roman" w:cs="Times New Roman"/>
                <w:b/>
                <w:sz w:val="24"/>
                <w:szCs w:val="24"/>
                <w:u w:val="single"/>
              </w:rPr>
            </w:pPr>
            <w:r w:rsidRPr="004455C3">
              <w:rPr>
                <w:rFonts w:ascii="Times New Roman" w:hAnsi="Times New Roman" w:cs="Times New Roman"/>
                <w:b/>
                <w:sz w:val="24"/>
                <w:szCs w:val="24"/>
                <w:u w:val="single"/>
              </w:rPr>
              <w:t>7 Concepts</w:t>
            </w:r>
          </w:p>
        </w:tc>
        <w:tc>
          <w:tcPr>
            <w:tcW w:w="4772" w:type="dxa"/>
          </w:tcPr>
          <w:p w:rsidR="00596A55" w:rsidRPr="004455C3" w:rsidRDefault="00596A55" w:rsidP="00E71A1F">
            <w:pPr>
              <w:tabs>
                <w:tab w:val="left" w:pos="3600"/>
              </w:tabs>
              <w:jc w:val="center"/>
              <w:rPr>
                <w:rFonts w:ascii="Times New Roman" w:hAnsi="Times New Roman" w:cs="Times New Roman"/>
                <w:b/>
                <w:sz w:val="24"/>
                <w:szCs w:val="24"/>
                <w:u w:val="single"/>
              </w:rPr>
            </w:pPr>
            <w:r w:rsidRPr="004455C3">
              <w:rPr>
                <w:rFonts w:ascii="Times New Roman" w:hAnsi="Times New Roman" w:cs="Times New Roman"/>
                <w:b/>
                <w:sz w:val="24"/>
                <w:szCs w:val="24"/>
                <w:u w:val="single"/>
              </w:rPr>
              <w:t>Brief Description of Concept</w:t>
            </w:r>
          </w:p>
          <w:p w:rsidR="00596A55" w:rsidRPr="00E71A1F" w:rsidRDefault="00596A55" w:rsidP="00E71A1F">
            <w:pPr>
              <w:tabs>
                <w:tab w:val="left" w:pos="3600"/>
              </w:tabs>
              <w:jc w:val="center"/>
              <w:rPr>
                <w:rFonts w:ascii="Times New Roman" w:hAnsi="Times New Roman" w:cs="Times New Roman"/>
                <w:sz w:val="24"/>
                <w:szCs w:val="24"/>
                <w:u w:val="single"/>
              </w:rPr>
            </w:pPr>
          </w:p>
        </w:tc>
        <w:tc>
          <w:tcPr>
            <w:tcW w:w="3868" w:type="dxa"/>
          </w:tcPr>
          <w:p w:rsidR="00596A55" w:rsidRPr="004455C3" w:rsidRDefault="00596A55" w:rsidP="00E71A1F">
            <w:pPr>
              <w:tabs>
                <w:tab w:val="left" w:pos="3600"/>
              </w:tabs>
              <w:jc w:val="center"/>
              <w:rPr>
                <w:rFonts w:ascii="Times New Roman" w:hAnsi="Times New Roman" w:cs="Times New Roman"/>
                <w:b/>
                <w:sz w:val="24"/>
                <w:szCs w:val="24"/>
                <w:u w:val="single"/>
              </w:rPr>
            </w:pPr>
            <w:r w:rsidRPr="004455C3">
              <w:rPr>
                <w:rFonts w:ascii="Times New Roman" w:hAnsi="Times New Roman" w:cs="Times New Roman"/>
                <w:b/>
                <w:sz w:val="24"/>
                <w:szCs w:val="24"/>
                <w:u w:val="single"/>
              </w:rPr>
              <w:t>Line of Inquiry</w:t>
            </w:r>
          </w:p>
        </w:tc>
      </w:tr>
      <w:tr w:rsidR="00596A55" w:rsidTr="00375051">
        <w:tc>
          <w:tcPr>
            <w:tcW w:w="2430" w:type="dxa"/>
          </w:tcPr>
          <w:p w:rsidR="00596A55" w:rsidRPr="00E71A1F" w:rsidRDefault="00596A55" w:rsidP="00E71A1F">
            <w:pPr>
              <w:pStyle w:val="ListParagraph"/>
              <w:numPr>
                <w:ilvl w:val="0"/>
                <w:numId w:val="2"/>
              </w:numPr>
              <w:tabs>
                <w:tab w:val="left" w:pos="3600"/>
              </w:tabs>
              <w:rPr>
                <w:rFonts w:ascii="Helvetica" w:hAnsi="Helvetica" w:cs="Helvetica"/>
                <w:sz w:val="21"/>
                <w:szCs w:val="21"/>
              </w:rPr>
            </w:pPr>
            <w:r>
              <w:rPr>
                <w:rFonts w:ascii="Helvetica" w:hAnsi="Helvetica" w:cs="Helvetica"/>
                <w:sz w:val="21"/>
                <w:szCs w:val="21"/>
              </w:rPr>
              <w:t>Identity</w:t>
            </w:r>
          </w:p>
        </w:tc>
        <w:tc>
          <w:tcPr>
            <w:tcW w:w="4772" w:type="dxa"/>
          </w:tcPr>
          <w:p w:rsidR="00596A55" w:rsidRPr="00E71A1F" w:rsidRDefault="00596A55" w:rsidP="00E71A1F">
            <w:pPr>
              <w:tabs>
                <w:tab w:val="left" w:pos="3600"/>
              </w:tabs>
              <w:rPr>
                <w:rFonts w:ascii="Helvetica" w:hAnsi="Helvetica" w:cs="Helvetica"/>
                <w:sz w:val="21"/>
                <w:szCs w:val="21"/>
              </w:rPr>
            </w:pPr>
            <w:r>
              <w:rPr>
                <w:rFonts w:ascii="Helvetica" w:hAnsi="Helvetica" w:cs="Helvetica"/>
                <w:sz w:val="21"/>
                <w:szCs w:val="21"/>
              </w:rPr>
              <w:t>The student may be interested in an aspect of the representation of identity of a particular character or group of characters in the text, or on the way in which the text relates to the identity of the writer.</w:t>
            </w:r>
          </w:p>
        </w:tc>
        <w:tc>
          <w:tcPr>
            <w:tcW w:w="3868" w:type="dxa"/>
          </w:tcPr>
          <w:p w:rsidR="00596A55" w:rsidRPr="00E71A1F" w:rsidRDefault="004455C3" w:rsidP="00E71A1F">
            <w:pPr>
              <w:tabs>
                <w:tab w:val="left" w:pos="3600"/>
              </w:tabs>
              <w:rPr>
                <w:rFonts w:ascii="Helvetica" w:hAnsi="Helvetica" w:cs="Helvetica"/>
                <w:sz w:val="21"/>
                <w:szCs w:val="21"/>
              </w:rPr>
            </w:pPr>
            <w:r>
              <w:rPr>
                <w:rFonts w:ascii="Helvetica" w:hAnsi="Helvetica" w:cs="Helvetica"/>
                <w:color w:val="333333"/>
                <w:shd w:val="clear" w:color="auto" w:fill="FFFFFF"/>
              </w:rPr>
              <w:t>H</w:t>
            </w:r>
            <w:r w:rsidR="00596A55">
              <w:rPr>
                <w:rFonts w:ascii="Helvetica" w:hAnsi="Helvetica" w:cs="Helvetica"/>
                <w:color w:val="333333"/>
                <w:shd w:val="clear" w:color="auto" w:fill="FFFFFF"/>
              </w:rPr>
              <w:t>ow does Ralph Ellison, in his novel </w:t>
            </w:r>
            <w:r w:rsidR="00596A55">
              <w:rPr>
                <w:rStyle w:val="tei-hi5"/>
                <w:rFonts w:ascii="Helvetica" w:hAnsi="Helvetica" w:cs="Helvetica"/>
                <w:i/>
                <w:iCs/>
                <w:color w:val="333333"/>
                <w:shd w:val="clear" w:color="auto" w:fill="FFFFFF"/>
              </w:rPr>
              <w:t>Invisible Man</w:t>
            </w:r>
            <w:r w:rsidR="00596A55">
              <w:rPr>
                <w:rFonts w:ascii="Helvetica" w:hAnsi="Helvetica" w:cs="Helvetica"/>
                <w:color w:val="333333"/>
                <w:shd w:val="clear" w:color="auto" w:fill="FFFFFF"/>
              </w:rPr>
              <w:t>, succeed in making his narrator a convincing spokesperson for the concerns of African-Americans in the 20th century?</w:t>
            </w:r>
          </w:p>
        </w:tc>
      </w:tr>
      <w:tr w:rsidR="00596A55" w:rsidTr="00375051">
        <w:tc>
          <w:tcPr>
            <w:tcW w:w="2430" w:type="dxa"/>
          </w:tcPr>
          <w:p w:rsidR="00596A55" w:rsidRPr="00E71A1F" w:rsidRDefault="00596A55" w:rsidP="00E71A1F">
            <w:pPr>
              <w:pStyle w:val="ListParagraph"/>
              <w:numPr>
                <w:ilvl w:val="0"/>
                <w:numId w:val="2"/>
              </w:numPr>
              <w:tabs>
                <w:tab w:val="left" w:pos="3600"/>
              </w:tabs>
              <w:rPr>
                <w:rFonts w:ascii="Helvetica" w:hAnsi="Helvetica" w:cs="Helvetica"/>
                <w:sz w:val="21"/>
                <w:szCs w:val="21"/>
              </w:rPr>
            </w:pPr>
            <w:r>
              <w:rPr>
                <w:rFonts w:ascii="Helvetica" w:hAnsi="Helvetica" w:cs="Helvetica"/>
                <w:sz w:val="21"/>
                <w:szCs w:val="21"/>
              </w:rPr>
              <w:t>Culture</w:t>
            </w:r>
          </w:p>
        </w:tc>
        <w:tc>
          <w:tcPr>
            <w:tcW w:w="4772" w:type="dxa"/>
          </w:tcPr>
          <w:p w:rsidR="00596A55" w:rsidRPr="00E71A1F" w:rsidRDefault="00596A55" w:rsidP="00E71A1F">
            <w:pPr>
              <w:tabs>
                <w:tab w:val="left" w:pos="3600"/>
              </w:tabs>
              <w:rPr>
                <w:rFonts w:ascii="Helvetica" w:hAnsi="Helvetica" w:cs="Helvetica"/>
                <w:sz w:val="21"/>
                <w:szCs w:val="21"/>
              </w:rPr>
            </w:pPr>
            <w:r>
              <w:rPr>
                <w:rFonts w:ascii="Helvetica" w:hAnsi="Helvetica" w:cs="Helvetica"/>
                <w:sz w:val="21"/>
                <w:szCs w:val="21"/>
              </w:rPr>
              <w:t xml:space="preserve">The student may be interested in an aspect of the representation of the culture of a particular place, institution of group of people, or on the way in which the text itself relates to a particular culture. </w:t>
            </w:r>
          </w:p>
        </w:tc>
        <w:tc>
          <w:tcPr>
            <w:tcW w:w="3868" w:type="dxa"/>
          </w:tcPr>
          <w:p w:rsidR="00596A55" w:rsidRPr="00E71A1F" w:rsidRDefault="004455C3" w:rsidP="00E71A1F">
            <w:pPr>
              <w:tabs>
                <w:tab w:val="left" w:pos="3600"/>
              </w:tabs>
              <w:rPr>
                <w:rFonts w:ascii="Helvetica" w:hAnsi="Helvetica" w:cs="Helvetica"/>
                <w:sz w:val="21"/>
                <w:szCs w:val="21"/>
              </w:rPr>
            </w:pPr>
            <w:r>
              <w:rPr>
                <w:rFonts w:ascii="Helvetica" w:hAnsi="Helvetica" w:cs="Helvetica"/>
                <w:color w:val="333333"/>
                <w:shd w:val="clear" w:color="auto" w:fill="FFFFFF"/>
              </w:rPr>
              <w:t>H</w:t>
            </w:r>
            <w:r w:rsidR="00596A55">
              <w:rPr>
                <w:rFonts w:ascii="Helvetica" w:hAnsi="Helvetica" w:cs="Helvetica"/>
                <w:color w:val="333333"/>
                <w:shd w:val="clear" w:color="auto" w:fill="FFFFFF"/>
              </w:rPr>
              <w:t xml:space="preserve">ow does Robert </w:t>
            </w:r>
            <w:proofErr w:type="spellStart"/>
            <w:r w:rsidR="00596A55">
              <w:rPr>
                <w:rFonts w:ascii="Helvetica" w:hAnsi="Helvetica" w:cs="Helvetica"/>
                <w:color w:val="333333"/>
                <w:shd w:val="clear" w:color="auto" w:fill="FFFFFF"/>
              </w:rPr>
              <w:t>Capa</w:t>
            </w:r>
            <w:proofErr w:type="spellEnd"/>
            <w:r w:rsidR="00596A55">
              <w:rPr>
                <w:rFonts w:ascii="Helvetica" w:hAnsi="Helvetica" w:cs="Helvetica"/>
                <w:color w:val="333333"/>
                <w:shd w:val="clear" w:color="auto" w:fill="FFFFFF"/>
              </w:rPr>
              <w:t xml:space="preserve"> represent post-Second World War France to qualify/exemplify the brutalities of the French population on former Nazi collaborators in </w:t>
            </w:r>
            <w:r w:rsidR="00596A55">
              <w:rPr>
                <w:rStyle w:val="tei-hi5"/>
                <w:rFonts w:ascii="Helvetica" w:hAnsi="Helvetica" w:cs="Helvetica"/>
                <w:i/>
                <w:iCs/>
                <w:color w:val="333333"/>
                <w:shd w:val="clear" w:color="auto" w:fill="FFFFFF"/>
              </w:rPr>
              <w:t xml:space="preserve">La Femme </w:t>
            </w:r>
            <w:proofErr w:type="spellStart"/>
            <w:r w:rsidR="00596A55">
              <w:rPr>
                <w:rStyle w:val="tei-hi5"/>
                <w:rFonts w:ascii="Helvetica" w:hAnsi="Helvetica" w:cs="Helvetica"/>
                <w:i/>
                <w:iCs/>
                <w:color w:val="333333"/>
                <w:shd w:val="clear" w:color="auto" w:fill="FFFFFF"/>
              </w:rPr>
              <w:t>Tondue</w:t>
            </w:r>
            <w:proofErr w:type="spellEnd"/>
            <w:r w:rsidR="00596A55">
              <w:rPr>
                <w:rFonts w:ascii="Helvetica" w:hAnsi="Helvetica" w:cs="Helvetica"/>
                <w:color w:val="333333"/>
                <w:shd w:val="clear" w:color="auto" w:fill="FFFFFF"/>
              </w:rPr>
              <w:t>?</w:t>
            </w:r>
          </w:p>
        </w:tc>
      </w:tr>
      <w:tr w:rsidR="00596A55" w:rsidTr="00375051">
        <w:tc>
          <w:tcPr>
            <w:tcW w:w="2430" w:type="dxa"/>
          </w:tcPr>
          <w:p w:rsidR="00596A55" w:rsidRPr="00E71A1F" w:rsidRDefault="00596A55" w:rsidP="00E71A1F">
            <w:pPr>
              <w:pStyle w:val="ListParagraph"/>
              <w:numPr>
                <w:ilvl w:val="0"/>
                <w:numId w:val="2"/>
              </w:numPr>
              <w:tabs>
                <w:tab w:val="left" w:pos="3600"/>
              </w:tabs>
              <w:rPr>
                <w:rFonts w:ascii="Helvetica" w:hAnsi="Helvetica" w:cs="Helvetica"/>
                <w:sz w:val="21"/>
                <w:szCs w:val="21"/>
              </w:rPr>
            </w:pPr>
            <w:r>
              <w:rPr>
                <w:rFonts w:ascii="Helvetica" w:hAnsi="Helvetica" w:cs="Helvetica"/>
                <w:sz w:val="21"/>
                <w:szCs w:val="21"/>
              </w:rPr>
              <w:t>Creativity</w:t>
            </w:r>
          </w:p>
        </w:tc>
        <w:tc>
          <w:tcPr>
            <w:tcW w:w="4772" w:type="dxa"/>
          </w:tcPr>
          <w:p w:rsidR="00596A55" w:rsidRPr="00E71A1F" w:rsidRDefault="00596A55" w:rsidP="00E71A1F">
            <w:pPr>
              <w:tabs>
                <w:tab w:val="left" w:pos="3600"/>
              </w:tabs>
              <w:rPr>
                <w:rFonts w:ascii="Helvetica" w:hAnsi="Helvetica" w:cs="Helvetica"/>
                <w:sz w:val="21"/>
                <w:szCs w:val="21"/>
              </w:rPr>
            </w:pPr>
            <w:r>
              <w:rPr>
                <w:rFonts w:ascii="Helvetica" w:hAnsi="Helvetica" w:cs="Helvetica"/>
                <w:sz w:val="21"/>
                <w:szCs w:val="21"/>
              </w:rPr>
              <w:t xml:space="preserve">The student may be interested in an aspect of the representation of individual or collective creativity, or lack of creativity, within the text, or on the way in which the text represents the creativity of the writer. </w:t>
            </w:r>
          </w:p>
        </w:tc>
        <w:tc>
          <w:tcPr>
            <w:tcW w:w="3868" w:type="dxa"/>
          </w:tcPr>
          <w:p w:rsidR="00596A55" w:rsidRPr="00E71A1F" w:rsidRDefault="004455C3" w:rsidP="00E71A1F">
            <w:pPr>
              <w:tabs>
                <w:tab w:val="left" w:pos="3600"/>
              </w:tabs>
              <w:rPr>
                <w:rFonts w:ascii="Helvetica" w:hAnsi="Helvetica" w:cs="Helvetica"/>
                <w:sz w:val="21"/>
                <w:szCs w:val="21"/>
              </w:rPr>
            </w:pPr>
            <w:r>
              <w:rPr>
                <w:rFonts w:ascii="Helvetica" w:hAnsi="Helvetica" w:cs="Helvetica"/>
                <w:color w:val="333333"/>
                <w:shd w:val="clear" w:color="auto" w:fill="FFFFFF"/>
              </w:rPr>
              <w:t>H</w:t>
            </w:r>
            <w:r w:rsidR="00596A55">
              <w:rPr>
                <w:rFonts w:ascii="Helvetica" w:hAnsi="Helvetica" w:cs="Helvetica"/>
                <w:color w:val="333333"/>
                <w:shd w:val="clear" w:color="auto" w:fill="FFFFFF"/>
              </w:rPr>
              <w:t xml:space="preserve">ow do Mario </w:t>
            </w:r>
            <w:proofErr w:type="spellStart"/>
            <w:r w:rsidR="00596A55">
              <w:rPr>
                <w:rFonts w:ascii="Helvetica" w:hAnsi="Helvetica" w:cs="Helvetica"/>
                <w:color w:val="333333"/>
                <w:shd w:val="clear" w:color="auto" w:fill="FFFFFF"/>
              </w:rPr>
              <w:t>Testino’s</w:t>
            </w:r>
            <w:proofErr w:type="spellEnd"/>
            <w:r w:rsidR="00596A55">
              <w:rPr>
                <w:rFonts w:ascii="Helvetica" w:hAnsi="Helvetica" w:cs="Helvetica"/>
                <w:color w:val="333333"/>
                <w:shd w:val="clear" w:color="auto" w:fill="FFFFFF"/>
              </w:rPr>
              <w:t xml:space="preserve"> portraits manage to convey the personalities of those portrayed in original ways?</w:t>
            </w:r>
          </w:p>
        </w:tc>
      </w:tr>
      <w:tr w:rsidR="00596A55" w:rsidTr="00375051">
        <w:tc>
          <w:tcPr>
            <w:tcW w:w="2430" w:type="dxa"/>
          </w:tcPr>
          <w:p w:rsidR="00596A55" w:rsidRPr="00E71A1F" w:rsidRDefault="00596A55" w:rsidP="00E71A1F">
            <w:pPr>
              <w:pStyle w:val="ListParagraph"/>
              <w:numPr>
                <w:ilvl w:val="0"/>
                <w:numId w:val="2"/>
              </w:numPr>
              <w:tabs>
                <w:tab w:val="left" w:pos="3600"/>
              </w:tabs>
              <w:rPr>
                <w:rFonts w:ascii="Helvetica" w:hAnsi="Helvetica" w:cs="Helvetica"/>
                <w:sz w:val="21"/>
                <w:szCs w:val="21"/>
              </w:rPr>
            </w:pPr>
            <w:r>
              <w:rPr>
                <w:rFonts w:ascii="Helvetica" w:hAnsi="Helvetica" w:cs="Helvetica"/>
                <w:sz w:val="21"/>
                <w:szCs w:val="21"/>
              </w:rPr>
              <w:t>Communication</w:t>
            </w:r>
          </w:p>
        </w:tc>
        <w:tc>
          <w:tcPr>
            <w:tcW w:w="4772" w:type="dxa"/>
          </w:tcPr>
          <w:p w:rsidR="00596A55" w:rsidRPr="00E71A1F" w:rsidRDefault="00596A55" w:rsidP="00E71A1F">
            <w:pPr>
              <w:tabs>
                <w:tab w:val="left" w:pos="3600"/>
              </w:tabs>
              <w:rPr>
                <w:rFonts w:ascii="Helvetica" w:hAnsi="Helvetica" w:cs="Helvetica"/>
                <w:sz w:val="21"/>
                <w:szCs w:val="21"/>
              </w:rPr>
            </w:pPr>
            <w:r>
              <w:rPr>
                <w:rFonts w:ascii="Helvetica" w:hAnsi="Helvetica" w:cs="Helvetica"/>
                <w:sz w:val="21"/>
                <w:szCs w:val="21"/>
              </w:rPr>
              <w:t>The student may be interested in an aspect of the representation of acts of communication, or failures in communication, in the text, or on the way in which the text itself represents an act of communication.</w:t>
            </w:r>
          </w:p>
        </w:tc>
        <w:tc>
          <w:tcPr>
            <w:tcW w:w="3868" w:type="dxa"/>
          </w:tcPr>
          <w:p w:rsidR="00596A55" w:rsidRPr="00E71A1F" w:rsidRDefault="004455C3" w:rsidP="00E71A1F">
            <w:pPr>
              <w:tabs>
                <w:tab w:val="left" w:pos="3600"/>
              </w:tabs>
              <w:rPr>
                <w:rFonts w:ascii="Helvetica" w:hAnsi="Helvetica" w:cs="Helvetica"/>
                <w:sz w:val="21"/>
                <w:szCs w:val="21"/>
              </w:rPr>
            </w:pPr>
            <w:r>
              <w:rPr>
                <w:rFonts w:ascii="Helvetica" w:hAnsi="Helvetica" w:cs="Helvetica"/>
                <w:color w:val="333333"/>
                <w:shd w:val="clear" w:color="auto" w:fill="FFFFFF"/>
              </w:rPr>
              <w:t>W</w:t>
            </w:r>
            <w:r w:rsidR="00596A55">
              <w:rPr>
                <w:rFonts w:ascii="Helvetica" w:hAnsi="Helvetica" w:cs="Helvetica"/>
                <w:color w:val="333333"/>
                <w:shd w:val="clear" w:color="auto" w:fill="FFFFFF"/>
              </w:rPr>
              <w:t>hich view of love does Matt Groening convey in </w:t>
            </w:r>
            <w:r w:rsidR="00596A55">
              <w:rPr>
                <w:rStyle w:val="tei-hi5"/>
                <w:rFonts w:ascii="Helvetica" w:hAnsi="Helvetica" w:cs="Helvetica"/>
                <w:i/>
                <w:iCs/>
                <w:color w:val="333333"/>
                <w:shd w:val="clear" w:color="auto" w:fill="FFFFFF"/>
              </w:rPr>
              <w:t>Love is Hell</w:t>
            </w:r>
            <w:r w:rsidR="00596A55">
              <w:rPr>
                <w:rFonts w:ascii="Helvetica" w:hAnsi="Helvetica" w:cs="Helvetica"/>
                <w:color w:val="333333"/>
                <w:shd w:val="clear" w:color="auto" w:fill="FFFFFF"/>
              </w:rPr>
              <w:t>?</w:t>
            </w:r>
          </w:p>
        </w:tc>
      </w:tr>
      <w:tr w:rsidR="00596A55" w:rsidTr="00375051">
        <w:tc>
          <w:tcPr>
            <w:tcW w:w="2430" w:type="dxa"/>
          </w:tcPr>
          <w:p w:rsidR="00596A55" w:rsidRPr="00E71A1F" w:rsidRDefault="00596A55" w:rsidP="00E71A1F">
            <w:pPr>
              <w:pStyle w:val="ListParagraph"/>
              <w:numPr>
                <w:ilvl w:val="0"/>
                <w:numId w:val="2"/>
              </w:numPr>
              <w:tabs>
                <w:tab w:val="left" w:pos="3600"/>
              </w:tabs>
              <w:rPr>
                <w:rFonts w:ascii="Helvetica" w:hAnsi="Helvetica" w:cs="Helvetica"/>
                <w:sz w:val="21"/>
                <w:szCs w:val="21"/>
              </w:rPr>
            </w:pPr>
            <w:r>
              <w:rPr>
                <w:rFonts w:ascii="Helvetica" w:hAnsi="Helvetica" w:cs="Helvetica"/>
                <w:sz w:val="21"/>
                <w:szCs w:val="21"/>
              </w:rPr>
              <w:t>Transformation</w:t>
            </w:r>
          </w:p>
        </w:tc>
        <w:tc>
          <w:tcPr>
            <w:tcW w:w="4772" w:type="dxa"/>
          </w:tcPr>
          <w:p w:rsidR="00596A55" w:rsidRPr="00E71A1F" w:rsidRDefault="00596A55" w:rsidP="00E71A1F">
            <w:pPr>
              <w:tabs>
                <w:tab w:val="left" w:pos="3600"/>
              </w:tabs>
              <w:rPr>
                <w:rFonts w:ascii="Helvetica" w:hAnsi="Helvetica" w:cs="Helvetica"/>
                <w:sz w:val="21"/>
                <w:szCs w:val="21"/>
              </w:rPr>
            </w:pPr>
            <w:r>
              <w:rPr>
                <w:rFonts w:ascii="Helvetica" w:hAnsi="Helvetica" w:cs="Helvetica"/>
                <w:sz w:val="21"/>
                <w:szCs w:val="21"/>
              </w:rPr>
              <w:t>The student may be interested in an aspect of the representation of transformation or transformative acts in the text, or on the way in which the text itself is a transformative act either of other texts through intertextual reference to them or of reality by means of a transformative effect on the reader’s identity, relationships goals, values, and beliefs.</w:t>
            </w:r>
          </w:p>
        </w:tc>
        <w:tc>
          <w:tcPr>
            <w:tcW w:w="3868" w:type="dxa"/>
          </w:tcPr>
          <w:p w:rsidR="00596A55" w:rsidRPr="00E71A1F" w:rsidRDefault="004455C3" w:rsidP="00E71A1F">
            <w:pPr>
              <w:tabs>
                <w:tab w:val="left" w:pos="3600"/>
              </w:tabs>
              <w:rPr>
                <w:rFonts w:ascii="Helvetica" w:hAnsi="Helvetica" w:cs="Helvetica"/>
                <w:sz w:val="21"/>
                <w:szCs w:val="21"/>
              </w:rPr>
            </w:pPr>
            <w:r>
              <w:rPr>
                <w:rFonts w:ascii="Helvetica" w:hAnsi="Helvetica" w:cs="Helvetica"/>
                <w:color w:val="333333"/>
                <w:shd w:val="clear" w:color="auto" w:fill="FFFFFF"/>
              </w:rPr>
              <w:t>I</w:t>
            </w:r>
            <w:r w:rsidR="00596A55">
              <w:rPr>
                <w:rFonts w:ascii="Helvetica" w:hAnsi="Helvetica" w:cs="Helvetica"/>
                <w:color w:val="333333"/>
                <w:shd w:val="clear" w:color="auto" w:fill="FFFFFF"/>
              </w:rPr>
              <w:t>n what ways does The Alan Parsons Project’s </w:t>
            </w:r>
            <w:r w:rsidR="00596A55">
              <w:rPr>
                <w:rStyle w:val="tei-hi5"/>
                <w:rFonts w:ascii="Helvetica" w:hAnsi="Helvetica" w:cs="Helvetica"/>
                <w:i/>
                <w:iCs/>
                <w:color w:val="333333"/>
                <w:shd w:val="clear" w:color="auto" w:fill="FFFFFF"/>
              </w:rPr>
              <w:t>Tales of Mystery and Imagination </w:t>
            </w:r>
            <w:r w:rsidR="00596A55">
              <w:rPr>
                <w:rFonts w:ascii="Helvetica" w:hAnsi="Helvetica" w:cs="Helvetica"/>
                <w:color w:val="333333"/>
                <w:shd w:val="clear" w:color="auto" w:fill="FFFFFF"/>
              </w:rPr>
              <w:t>offer a transformative re-reading of Edgar Allan Poe’s tales?</w:t>
            </w:r>
          </w:p>
        </w:tc>
      </w:tr>
      <w:tr w:rsidR="00596A55" w:rsidTr="00375051">
        <w:tc>
          <w:tcPr>
            <w:tcW w:w="2430" w:type="dxa"/>
          </w:tcPr>
          <w:p w:rsidR="00596A55" w:rsidRPr="00E71A1F" w:rsidRDefault="00596A55" w:rsidP="00E71A1F">
            <w:pPr>
              <w:pStyle w:val="ListParagraph"/>
              <w:numPr>
                <w:ilvl w:val="0"/>
                <w:numId w:val="2"/>
              </w:numPr>
              <w:tabs>
                <w:tab w:val="left" w:pos="3600"/>
              </w:tabs>
              <w:rPr>
                <w:rFonts w:ascii="Helvetica" w:hAnsi="Helvetica" w:cs="Helvetica"/>
                <w:sz w:val="21"/>
                <w:szCs w:val="21"/>
              </w:rPr>
            </w:pPr>
            <w:r>
              <w:rPr>
                <w:rFonts w:ascii="Helvetica" w:hAnsi="Helvetica" w:cs="Helvetica"/>
                <w:sz w:val="21"/>
                <w:szCs w:val="21"/>
              </w:rPr>
              <w:t>Perspective</w:t>
            </w:r>
          </w:p>
        </w:tc>
        <w:tc>
          <w:tcPr>
            <w:tcW w:w="4772" w:type="dxa"/>
          </w:tcPr>
          <w:p w:rsidR="00596A55" w:rsidRPr="00E71A1F" w:rsidRDefault="00596A55" w:rsidP="00E71A1F">
            <w:pPr>
              <w:tabs>
                <w:tab w:val="left" w:pos="3600"/>
              </w:tabs>
              <w:rPr>
                <w:rFonts w:ascii="Helvetica" w:hAnsi="Helvetica" w:cs="Helvetica"/>
                <w:sz w:val="21"/>
                <w:szCs w:val="21"/>
              </w:rPr>
            </w:pPr>
            <w:r>
              <w:rPr>
                <w:rFonts w:ascii="Helvetica" w:hAnsi="Helvetica" w:cs="Helvetica"/>
                <w:sz w:val="21"/>
                <w:szCs w:val="21"/>
              </w:rPr>
              <w:t>The student may be interested in an aspect of the representation of a particular perspective or perspectives within the text, or on the way in which the text represents the writer’s perspective.</w:t>
            </w:r>
          </w:p>
        </w:tc>
        <w:tc>
          <w:tcPr>
            <w:tcW w:w="3868" w:type="dxa"/>
          </w:tcPr>
          <w:p w:rsidR="00596A55" w:rsidRPr="00E71A1F" w:rsidRDefault="004455C3" w:rsidP="00E71A1F">
            <w:pPr>
              <w:tabs>
                <w:tab w:val="left" w:pos="3600"/>
              </w:tabs>
              <w:rPr>
                <w:rFonts w:ascii="Helvetica" w:hAnsi="Helvetica" w:cs="Helvetica"/>
                <w:sz w:val="21"/>
                <w:szCs w:val="21"/>
              </w:rPr>
            </w:pPr>
            <w:r>
              <w:rPr>
                <w:rFonts w:ascii="Helvetica" w:hAnsi="Helvetica" w:cs="Helvetica"/>
                <w:color w:val="333333"/>
                <w:shd w:val="clear" w:color="auto" w:fill="FFFFFF"/>
              </w:rPr>
              <w:t>H</w:t>
            </w:r>
            <w:r w:rsidR="00596A55">
              <w:rPr>
                <w:rFonts w:ascii="Helvetica" w:hAnsi="Helvetica" w:cs="Helvetica"/>
                <w:color w:val="333333"/>
                <w:shd w:val="clear" w:color="auto" w:fill="FFFFFF"/>
              </w:rPr>
              <w:t>ow does Mary Shelley’s protagonist in </w:t>
            </w:r>
            <w:r w:rsidR="00596A55">
              <w:rPr>
                <w:rStyle w:val="tei-hi5"/>
                <w:rFonts w:ascii="Helvetica" w:hAnsi="Helvetica" w:cs="Helvetica"/>
                <w:i/>
                <w:iCs/>
                <w:color w:val="333333"/>
                <w:shd w:val="clear" w:color="auto" w:fill="FFFFFF"/>
              </w:rPr>
              <w:t>Frankenstein</w:t>
            </w:r>
            <w:r w:rsidR="00596A55">
              <w:rPr>
                <w:rFonts w:ascii="Helvetica" w:hAnsi="Helvetica" w:cs="Helvetica"/>
                <w:color w:val="333333"/>
                <w:shd w:val="clear" w:color="auto" w:fill="FFFFFF"/>
              </w:rPr>
              <w:t> use the motif of dangerous knowledge to show the perspective of fear and anxiety of excesses in scientific enterprise in early 19th century Europe?</w:t>
            </w:r>
          </w:p>
        </w:tc>
      </w:tr>
      <w:tr w:rsidR="00596A55" w:rsidTr="00375051">
        <w:tc>
          <w:tcPr>
            <w:tcW w:w="2430" w:type="dxa"/>
          </w:tcPr>
          <w:p w:rsidR="00596A55" w:rsidRPr="00E71A1F" w:rsidRDefault="00596A55" w:rsidP="00E71A1F">
            <w:pPr>
              <w:pStyle w:val="ListParagraph"/>
              <w:numPr>
                <w:ilvl w:val="0"/>
                <w:numId w:val="2"/>
              </w:numPr>
              <w:tabs>
                <w:tab w:val="left" w:pos="3600"/>
              </w:tabs>
              <w:rPr>
                <w:rFonts w:ascii="Helvetica" w:hAnsi="Helvetica" w:cs="Helvetica"/>
                <w:sz w:val="21"/>
                <w:szCs w:val="21"/>
              </w:rPr>
            </w:pPr>
            <w:r>
              <w:rPr>
                <w:rFonts w:ascii="Helvetica" w:hAnsi="Helvetica" w:cs="Helvetica"/>
                <w:sz w:val="21"/>
                <w:szCs w:val="21"/>
              </w:rPr>
              <w:t>Representation</w:t>
            </w:r>
          </w:p>
        </w:tc>
        <w:tc>
          <w:tcPr>
            <w:tcW w:w="4772" w:type="dxa"/>
          </w:tcPr>
          <w:p w:rsidR="00596A55" w:rsidRPr="00E71A1F" w:rsidRDefault="00596A55" w:rsidP="00E71A1F">
            <w:pPr>
              <w:tabs>
                <w:tab w:val="left" w:pos="3600"/>
              </w:tabs>
              <w:rPr>
                <w:rFonts w:ascii="Helvetica" w:hAnsi="Helvetica" w:cs="Helvetica"/>
                <w:sz w:val="21"/>
                <w:szCs w:val="21"/>
              </w:rPr>
            </w:pPr>
            <w:r>
              <w:rPr>
                <w:rFonts w:ascii="Helvetica" w:hAnsi="Helvetica" w:cs="Helvetica"/>
                <w:sz w:val="21"/>
                <w:szCs w:val="21"/>
              </w:rPr>
              <w:t>The student may be interested in an aspect of the way in which the text represents different themes, attitudes and concepts, or in the extent to which language and literature can actually represent reality.</w:t>
            </w:r>
          </w:p>
        </w:tc>
        <w:tc>
          <w:tcPr>
            <w:tcW w:w="3868" w:type="dxa"/>
          </w:tcPr>
          <w:p w:rsidR="00596A55" w:rsidRPr="00E71A1F" w:rsidRDefault="004455C3" w:rsidP="00E71A1F">
            <w:pPr>
              <w:tabs>
                <w:tab w:val="left" w:pos="3600"/>
              </w:tabs>
              <w:rPr>
                <w:rFonts w:ascii="Helvetica" w:hAnsi="Helvetica" w:cs="Helvetica"/>
                <w:sz w:val="21"/>
                <w:szCs w:val="21"/>
              </w:rPr>
            </w:pPr>
            <w:r>
              <w:rPr>
                <w:rFonts w:ascii="Helvetica" w:hAnsi="Helvetica" w:cs="Helvetica"/>
                <w:color w:val="333333"/>
                <w:shd w:val="clear" w:color="auto" w:fill="FFFFFF"/>
              </w:rPr>
              <w:t>T</w:t>
            </w:r>
            <w:r w:rsidR="00596A55">
              <w:rPr>
                <w:rFonts w:ascii="Helvetica" w:hAnsi="Helvetica" w:cs="Helvetica"/>
                <w:color w:val="333333"/>
                <w:shd w:val="clear" w:color="auto" w:fill="FFFFFF"/>
              </w:rPr>
              <w:t xml:space="preserve">hrough what means does Juan </w:t>
            </w:r>
            <w:proofErr w:type="spellStart"/>
            <w:r w:rsidR="00596A55">
              <w:rPr>
                <w:rFonts w:ascii="Helvetica" w:hAnsi="Helvetica" w:cs="Helvetica"/>
                <w:color w:val="333333"/>
                <w:shd w:val="clear" w:color="auto" w:fill="FFFFFF"/>
              </w:rPr>
              <w:t>Rulfo</w:t>
            </w:r>
            <w:proofErr w:type="spellEnd"/>
            <w:r w:rsidR="00596A55">
              <w:rPr>
                <w:rFonts w:ascii="Helvetica" w:hAnsi="Helvetica" w:cs="Helvetica"/>
                <w:color w:val="333333"/>
                <w:shd w:val="clear" w:color="auto" w:fill="FFFFFF"/>
              </w:rPr>
              <w:t xml:space="preserve"> successfully convey the representation of realistic and non-realistic characters and situations in </w:t>
            </w:r>
            <w:r w:rsidR="00596A55">
              <w:rPr>
                <w:rStyle w:val="tei-hi5"/>
                <w:rFonts w:ascii="Helvetica" w:hAnsi="Helvetica" w:cs="Helvetica"/>
                <w:i/>
                <w:iCs/>
                <w:color w:val="333333"/>
                <w:shd w:val="clear" w:color="auto" w:fill="FFFFFF"/>
              </w:rPr>
              <w:t xml:space="preserve">Pedro </w:t>
            </w:r>
            <w:proofErr w:type="spellStart"/>
            <w:r w:rsidR="00596A55">
              <w:rPr>
                <w:rStyle w:val="tei-hi5"/>
                <w:rFonts w:ascii="Helvetica" w:hAnsi="Helvetica" w:cs="Helvetica"/>
                <w:i/>
                <w:iCs/>
                <w:color w:val="333333"/>
                <w:shd w:val="clear" w:color="auto" w:fill="FFFFFF"/>
              </w:rPr>
              <w:t>Páramo</w:t>
            </w:r>
            <w:proofErr w:type="spellEnd"/>
            <w:r w:rsidR="00596A55">
              <w:rPr>
                <w:rFonts w:ascii="Helvetica" w:hAnsi="Helvetica" w:cs="Helvetica"/>
                <w:color w:val="333333"/>
                <w:shd w:val="clear" w:color="auto" w:fill="FFFFFF"/>
              </w:rPr>
              <w:t>?</w:t>
            </w:r>
          </w:p>
        </w:tc>
      </w:tr>
    </w:tbl>
    <w:p w:rsidR="00E71A1F" w:rsidRPr="00375051" w:rsidRDefault="00E71A1F" w:rsidP="00375051">
      <w:pPr>
        <w:pStyle w:val="NoSpacing"/>
        <w:rPr>
          <w:sz w:val="10"/>
          <w:szCs w:val="10"/>
        </w:rPr>
      </w:pPr>
    </w:p>
    <w:p w:rsidR="00375051" w:rsidRDefault="00375051" w:rsidP="00E71A1F">
      <w:pPr>
        <w:tabs>
          <w:tab w:val="left" w:pos="3600"/>
        </w:tabs>
        <w:rPr>
          <w:rFonts w:ascii="Times New Roman" w:hAnsi="Times New Roman" w:cs="Times New Roman"/>
          <w:b/>
          <w:sz w:val="24"/>
          <w:szCs w:val="24"/>
          <w:u w:val="single"/>
        </w:rPr>
      </w:pPr>
    </w:p>
    <w:p w:rsidR="00375051" w:rsidRPr="00375051" w:rsidRDefault="00375051" w:rsidP="00E71A1F">
      <w:pPr>
        <w:tabs>
          <w:tab w:val="left" w:pos="3600"/>
        </w:tabs>
        <w:rPr>
          <w:rFonts w:ascii="Times New Roman" w:hAnsi="Times New Roman" w:cs="Times New Roman"/>
          <w:b/>
          <w:sz w:val="24"/>
          <w:szCs w:val="24"/>
          <w:u w:val="single"/>
        </w:rPr>
      </w:pPr>
      <w:r w:rsidRPr="00375051">
        <w:rPr>
          <w:rFonts w:ascii="Times New Roman" w:hAnsi="Times New Roman" w:cs="Times New Roman"/>
          <w:b/>
          <w:sz w:val="24"/>
          <w:szCs w:val="24"/>
          <w:u w:val="single"/>
        </w:rPr>
        <w:t>Other examples of appropriate line of inquiries:</w:t>
      </w:r>
    </w:p>
    <w:p w:rsidR="00375051" w:rsidRPr="00375051" w:rsidRDefault="00375051" w:rsidP="00375051">
      <w:pPr>
        <w:pStyle w:val="tei-p26"/>
        <w:numPr>
          <w:ilvl w:val="0"/>
          <w:numId w:val="3"/>
        </w:numPr>
        <w:shd w:val="clear" w:color="auto" w:fill="FFFFFF"/>
        <w:spacing w:before="0" w:beforeAutospacing="0" w:after="180" w:afterAutospacing="0"/>
        <w:ind w:left="180"/>
        <w:rPr>
          <w:color w:val="333333"/>
        </w:rPr>
      </w:pPr>
      <w:r w:rsidRPr="00375051">
        <w:rPr>
          <w:color w:val="333333"/>
        </w:rPr>
        <w:t>How does F. Scott Fitzgerald foreshadow how Gatsby’s unnatural attachment to the past causes his downfall in </w:t>
      </w:r>
      <w:r w:rsidRPr="00375051">
        <w:rPr>
          <w:rStyle w:val="tei-hi5"/>
          <w:i/>
          <w:iCs/>
          <w:color w:val="333333"/>
        </w:rPr>
        <w:t>The</w:t>
      </w:r>
      <w:r w:rsidR="004455C3">
        <w:rPr>
          <w:rStyle w:val="tei-hi5"/>
          <w:i/>
          <w:iCs/>
          <w:color w:val="333333"/>
        </w:rPr>
        <w:t xml:space="preserve"> </w:t>
      </w:r>
      <w:r w:rsidRPr="00375051">
        <w:rPr>
          <w:rStyle w:val="tei-hi5"/>
          <w:i/>
          <w:iCs/>
          <w:color w:val="333333"/>
        </w:rPr>
        <w:t>Great Gatsby</w:t>
      </w:r>
      <w:r w:rsidRPr="00375051">
        <w:rPr>
          <w:color w:val="333333"/>
        </w:rPr>
        <w:t>?</w:t>
      </w:r>
    </w:p>
    <w:p w:rsidR="00375051" w:rsidRPr="00375051" w:rsidRDefault="00375051" w:rsidP="00375051">
      <w:pPr>
        <w:pStyle w:val="tei-p26"/>
        <w:numPr>
          <w:ilvl w:val="0"/>
          <w:numId w:val="3"/>
        </w:numPr>
        <w:shd w:val="clear" w:color="auto" w:fill="FFFFFF"/>
        <w:spacing w:before="0" w:beforeAutospacing="0" w:after="180" w:afterAutospacing="0"/>
        <w:ind w:left="180"/>
        <w:rPr>
          <w:color w:val="333333"/>
        </w:rPr>
      </w:pPr>
      <w:r w:rsidRPr="00375051">
        <w:rPr>
          <w:color w:val="333333"/>
        </w:rPr>
        <w:t>In what ways would Marxist theory about the stratification of wealth and power explain the violence that runs through the action of the novel </w:t>
      </w:r>
      <w:r w:rsidRPr="00375051">
        <w:rPr>
          <w:rStyle w:val="tei-hi5"/>
          <w:i/>
          <w:iCs/>
          <w:color w:val="333333"/>
        </w:rPr>
        <w:t>A Hundred Years of Solitude</w:t>
      </w:r>
      <w:r w:rsidRPr="00375051">
        <w:rPr>
          <w:color w:val="333333"/>
        </w:rPr>
        <w:t> by Gabriel García Márquez?</w:t>
      </w:r>
    </w:p>
    <w:p w:rsidR="00E71A1F" w:rsidRPr="00375051" w:rsidRDefault="00375051" w:rsidP="004455C3">
      <w:pPr>
        <w:pStyle w:val="tei-p26"/>
        <w:numPr>
          <w:ilvl w:val="0"/>
          <w:numId w:val="3"/>
        </w:numPr>
        <w:shd w:val="clear" w:color="auto" w:fill="FFFFFF"/>
        <w:spacing w:before="0" w:beforeAutospacing="0" w:after="180" w:afterAutospacing="0"/>
        <w:ind w:left="180"/>
      </w:pPr>
      <w:r w:rsidRPr="00375051">
        <w:rPr>
          <w:color w:val="333333"/>
        </w:rPr>
        <w:t>To what extent was the characterization of the protagonist in Patrick</w:t>
      </w:r>
      <w:r w:rsidR="004455C3">
        <w:rPr>
          <w:color w:val="333333"/>
        </w:rPr>
        <w:t xml:space="preserve"> </w:t>
      </w:r>
      <w:proofErr w:type="spellStart"/>
      <w:r w:rsidR="004455C3" w:rsidRPr="004455C3">
        <w:rPr>
          <w:color w:val="333333"/>
        </w:rPr>
        <w:t>S</w:t>
      </w:r>
      <w:r w:rsidRPr="004455C3">
        <w:rPr>
          <w:color w:val="333333"/>
        </w:rPr>
        <w:t>üskind´s</w:t>
      </w:r>
      <w:proofErr w:type="spellEnd"/>
      <w:r w:rsidR="004455C3">
        <w:rPr>
          <w:color w:val="333333"/>
        </w:rPr>
        <w:t xml:space="preserve"> </w:t>
      </w:r>
      <w:r w:rsidRPr="004455C3">
        <w:rPr>
          <w:rStyle w:val="tei-hi5"/>
          <w:i/>
          <w:iCs/>
          <w:color w:val="333333"/>
        </w:rPr>
        <w:t>Perfume</w:t>
      </w:r>
      <w:r w:rsidR="004455C3">
        <w:rPr>
          <w:color w:val="333333"/>
        </w:rPr>
        <w:t xml:space="preserve"> </w:t>
      </w:r>
      <w:r w:rsidR="004455C3" w:rsidRPr="004455C3">
        <w:rPr>
          <w:color w:val="333333"/>
        </w:rPr>
        <w:t>i</w:t>
      </w:r>
      <w:r w:rsidRPr="004455C3">
        <w:rPr>
          <w:color w:val="333333"/>
        </w:rPr>
        <w:t>nfluenced by Franz Kafka´s </w:t>
      </w:r>
      <w:r w:rsidRPr="004455C3">
        <w:rPr>
          <w:rStyle w:val="tei-hi5"/>
          <w:i/>
          <w:iCs/>
          <w:color w:val="333333"/>
        </w:rPr>
        <w:t>The Metamorphosis</w:t>
      </w:r>
      <w:r w:rsidRPr="004455C3">
        <w:rPr>
          <w:color w:val="333333"/>
        </w:rPr>
        <w:t>?</w:t>
      </w:r>
    </w:p>
    <w:sectPr w:rsidR="00E71A1F" w:rsidRPr="00375051" w:rsidSect="00375051">
      <w:pgSz w:w="12240" w:h="15840"/>
      <w:pgMar w:top="54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513224"/>
    <w:multiLevelType w:val="hybridMultilevel"/>
    <w:tmpl w:val="84FE6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7C35DE"/>
    <w:multiLevelType w:val="multilevel"/>
    <w:tmpl w:val="A62A1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A26AA1"/>
    <w:multiLevelType w:val="hybridMultilevel"/>
    <w:tmpl w:val="3CA26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B2222D"/>
    <w:multiLevelType w:val="hybridMultilevel"/>
    <w:tmpl w:val="9FC4B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CD4"/>
    <w:rsid w:val="00200A21"/>
    <w:rsid w:val="00375051"/>
    <w:rsid w:val="004455C3"/>
    <w:rsid w:val="00596A55"/>
    <w:rsid w:val="00786CD4"/>
    <w:rsid w:val="00CF57E8"/>
    <w:rsid w:val="00D9664A"/>
    <w:rsid w:val="00E71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A559B0-A947-4175-80EA-3F8BF01AC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6C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1A1F"/>
    <w:pPr>
      <w:ind w:left="720"/>
      <w:contextualSpacing/>
    </w:pPr>
  </w:style>
  <w:style w:type="character" w:customStyle="1" w:styleId="tei-hi5">
    <w:name w:val="tei-hi5"/>
    <w:basedOn w:val="DefaultParagraphFont"/>
    <w:rsid w:val="00596A55"/>
  </w:style>
  <w:style w:type="paragraph" w:customStyle="1" w:styleId="tei-p26">
    <w:name w:val="tei-p26"/>
    <w:basedOn w:val="Normal"/>
    <w:rsid w:val="00375051"/>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3750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51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780</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Bustos</dc:creator>
  <cp:keywords/>
  <dc:description/>
  <cp:lastModifiedBy>Lee, Kyung</cp:lastModifiedBy>
  <cp:revision>2</cp:revision>
  <dcterms:created xsi:type="dcterms:W3CDTF">2019-12-13T15:22:00Z</dcterms:created>
  <dcterms:modified xsi:type="dcterms:W3CDTF">2019-12-13T15:22:00Z</dcterms:modified>
</cp:coreProperties>
</file>